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湖北省地方标准编制说明</w:t>
      </w:r>
    </w:p>
    <w:p>
      <w:pPr>
        <w:adjustRightInd w:val="0"/>
        <w:snapToGrid w:val="0"/>
        <w:spacing w:line="300" w:lineRule="exact"/>
        <w:jc w:val="right"/>
        <w:rPr>
          <w:rFonts w:ascii="方正小标宋简体" w:eastAsia="方正小标宋简体"/>
          <w:color w:val="000000"/>
          <w:sz w:val="44"/>
          <w:szCs w:val="44"/>
        </w:rPr>
      </w:pPr>
    </w:p>
    <w:p>
      <w:pPr>
        <w:adjustRightInd w:val="0"/>
        <w:snapToGrid w:val="0"/>
        <w:spacing w:line="560" w:lineRule="exact"/>
        <w:jc w:val="right"/>
        <w:rPr>
          <w:rFonts w:ascii="方正仿宋_GBK" w:hAnsi="宋体" w:eastAsia="方正仿宋_GBK"/>
          <w:color w:val="000000"/>
          <w:sz w:val="32"/>
          <w:szCs w:val="32"/>
        </w:rPr>
      </w:pPr>
      <w:r>
        <w:rPr>
          <w:rFonts w:hint="eastAsia" w:ascii="方正仿宋_GBK" w:hAnsi="宋体" w:eastAsia="方正仿宋_GBK"/>
          <w:color w:val="000000"/>
          <w:sz w:val="32"/>
          <w:szCs w:val="32"/>
          <w:lang w:val="en-US" w:eastAsia="zh-CN"/>
        </w:rPr>
        <w:t>2023</w:t>
      </w:r>
      <w:r>
        <w:rPr>
          <w:rFonts w:hint="eastAsia" w:ascii="方正仿宋_GBK" w:hAnsi="宋体" w:eastAsia="方正仿宋_GBK"/>
          <w:color w:val="000000"/>
          <w:sz w:val="32"/>
          <w:szCs w:val="32"/>
        </w:rPr>
        <w:t>年</w:t>
      </w:r>
      <w:r>
        <w:rPr>
          <w:rFonts w:hint="eastAsia" w:ascii="方正仿宋_GBK" w:hAnsi="宋体" w:eastAsia="方正仿宋_GBK"/>
          <w:color w:val="000000"/>
          <w:sz w:val="32"/>
          <w:szCs w:val="32"/>
          <w:lang w:val="en-US" w:eastAsia="zh-CN"/>
        </w:rPr>
        <w:t>12</w:t>
      </w:r>
      <w:r>
        <w:rPr>
          <w:rFonts w:hint="eastAsia" w:ascii="方正仿宋_GBK" w:hAnsi="宋体" w:eastAsia="方正仿宋_GBK"/>
          <w:color w:val="000000"/>
          <w:sz w:val="32"/>
          <w:szCs w:val="32"/>
        </w:rPr>
        <w:t xml:space="preserve"> 月</w:t>
      </w:r>
      <w:r>
        <w:rPr>
          <w:rFonts w:hint="eastAsia" w:ascii="方正仿宋_GBK" w:hAnsi="宋体" w:eastAsia="方正仿宋_GBK"/>
          <w:color w:val="000000"/>
          <w:sz w:val="32"/>
          <w:szCs w:val="32"/>
          <w:lang w:val="en-US" w:eastAsia="zh-CN"/>
        </w:rPr>
        <w:t>30</w:t>
      </w:r>
      <w:r>
        <w:rPr>
          <w:rFonts w:hint="eastAsia" w:ascii="方正仿宋_GBK" w:hAnsi="宋体" w:eastAsia="方正仿宋_GBK"/>
          <w:color w:val="000000"/>
          <w:sz w:val="32"/>
          <w:szCs w:val="32"/>
        </w:rPr>
        <w:t xml:space="preserve"> 日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2562"/>
        <w:gridCol w:w="1374"/>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215" w:type="pct"/>
            <w:noWrap w:val="0"/>
            <w:vAlign w:val="center"/>
          </w:tcPr>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标准名称</w:t>
            </w:r>
          </w:p>
        </w:tc>
        <w:tc>
          <w:tcPr>
            <w:tcW w:w="3784" w:type="pct"/>
            <w:gridSpan w:val="3"/>
            <w:noWrap w:val="0"/>
            <w:vAlign w:val="center"/>
          </w:tcPr>
          <w:p>
            <w:pPr>
              <w:adjustRightInd w:val="0"/>
              <w:snapToGrid w:val="0"/>
              <w:spacing w:line="360" w:lineRule="exact"/>
              <w:rPr>
                <w:rFonts w:hint="eastAsia" w:ascii="方正仿宋_GBK" w:hAnsi="宋体" w:eastAsia="方正仿宋_GBK"/>
                <w:color w:val="000000"/>
                <w:sz w:val="28"/>
                <w:szCs w:val="32"/>
                <w:lang w:eastAsia="zh-CN"/>
              </w:rPr>
            </w:pPr>
            <w:r>
              <w:rPr>
                <w:rFonts w:hint="eastAsia" w:ascii="方正仿宋_GBK" w:hAnsi="宋体" w:eastAsia="方正仿宋_GBK"/>
                <w:color w:val="000000"/>
                <w:sz w:val="28"/>
                <w:szCs w:val="32"/>
                <w:lang w:eastAsia="zh-CN"/>
              </w:rPr>
              <w:t>农村生活污水处理技术指南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15" w:type="pct"/>
            <w:noWrap w:val="0"/>
            <w:vAlign w:val="center"/>
          </w:tcPr>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被修订或整合</w:t>
            </w:r>
          </w:p>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标准名称</w:t>
            </w:r>
          </w:p>
        </w:tc>
        <w:tc>
          <w:tcPr>
            <w:tcW w:w="1503" w:type="pct"/>
            <w:noWrap w:val="0"/>
            <w:vAlign w:val="center"/>
          </w:tcPr>
          <w:p>
            <w:pPr>
              <w:adjustRightInd w:val="0"/>
              <w:snapToGrid w:val="0"/>
              <w:spacing w:line="360" w:lineRule="exact"/>
              <w:rPr>
                <w:rFonts w:ascii="方正仿宋_GBK" w:hAnsi="宋体" w:eastAsia="方正仿宋_GBK"/>
                <w:color w:val="000000"/>
                <w:sz w:val="28"/>
                <w:szCs w:val="32"/>
              </w:rPr>
            </w:pPr>
          </w:p>
        </w:tc>
        <w:tc>
          <w:tcPr>
            <w:tcW w:w="806" w:type="pct"/>
            <w:noWrap w:val="0"/>
            <w:vAlign w:val="center"/>
          </w:tcPr>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被代替</w:t>
            </w:r>
          </w:p>
          <w:p>
            <w:pPr>
              <w:adjustRightInd w:val="0"/>
              <w:snapToGrid w:val="0"/>
              <w:spacing w:line="360" w:lineRule="exact"/>
              <w:rPr>
                <w:rFonts w:ascii="方正仿宋_GBK" w:hAnsi="宋体" w:eastAsia="方正仿宋_GBK"/>
                <w:color w:val="000000"/>
                <w:sz w:val="28"/>
                <w:szCs w:val="32"/>
              </w:rPr>
            </w:pPr>
            <w:r>
              <w:rPr>
                <w:rFonts w:hint="eastAsia" w:ascii="方正仿宋_GBK" w:eastAsia="方正仿宋_GBK"/>
                <w:color w:val="000000"/>
                <w:sz w:val="28"/>
                <w:szCs w:val="32"/>
              </w:rPr>
              <w:t>标准编号</w:t>
            </w:r>
          </w:p>
        </w:tc>
        <w:tc>
          <w:tcPr>
            <w:tcW w:w="1475" w:type="pct"/>
            <w:noWrap w:val="0"/>
            <w:vAlign w:val="center"/>
          </w:tcPr>
          <w:p>
            <w:pPr>
              <w:adjustRightInd w:val="0"/>
              <w:snapToGrid w:val="0"/>
              <w:spacing w:line="360" w:lineRule="exact"/>
              <w:rPr>
                <w:rFonts w:ascii="方正仿宋_GBK" w:hAnsi="宋体" w:eastAsia="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1215" w:type="pct"/>
            <w:noWrap w:val="0"/>
            <w:vAlign w:val="center"/>
          </w:tcPr>
          <w:p>
            <w:pPr>
              <w:adjustRightInd w:val="0"/>
              <w:snapToGrid w:val="0"/>
              <w:spacing w:line="360" w:lineRule="exact"/>
              <w:jc w:val="distribute"/>
              <w:rPr>
                <w:rFonts w:ascii="方正仿宋_GBK" w:eastAsia="方正仿宋_GBK"/>
                <w:color w:val="000000"/>
                <w:sz w:val="28"/>
                <w:szCs w:val="32"/>
              </w:rPr>
            </w:pPr>
            <w:r>
              <w:rPr>
                <w:rFonts w:hint="eastAsia" w:ascii="方正仿宋_GBK" w:eastAsia="方正仿宋_GBK"/>
                <w:color w:val="000000"/>
                <w:sz w:val="28"/>
                <w:szCs w:val="32"/>
              </w:rPr>
              <w:t>起草单位</w:t>
            </w:r>
          </w:p>
          <w:p>
            <w:pPr>
              <w:adjustRightInd w:val="0"/>
              <w:snapToGrid w:val="0"/>
              <w:spacing w:line="360" w:lineRule="exact"/>
              <w:jc w:val="distribute"/>
              <w:rPr>
                <w:rFonts w:ascii="方正仿宋_GBK" w:eastAsia="方正仿宋_GBK"/>
                <w:color w:val="000000"/>
                <w:sz w:val="28"/>
                <w:szCs w:val="32"/>
              </w:rPr>
            </w:pPr>
            <w:r>
              <w:rPr>
                <w:rFonts w:hint="eastAsia" w:ascii="方正仿宋_GBK" w:hAnsi="宋体" w:eastAsia="方正仿宋_GBK"/>
                <w:color w:val="000000"/>
                <w:sz w:val="28"/>
                <w:szCs w:val="32"/>
              </w:rPr>
              <w:t>（盖章）</w:t>
            </w:r>
          </w:p>
        </w:tc>
        <w:tc>
          <w:tcPr>
            <w:tcW w:w="3784" w:type="pct"/>
            <w:gridSpan w:val="3"/>
            <w:noWrap w:val="0"/>
            <w:vAlign w:val="center"/>
          </w:tcPr>
          <w:p>
            <w:pPr>
              <w:pStyle w:val="8"/>
              <w:keepNext w:val="0"/>
              <w:keepLines w:val="0"/>
              <w:suppressLineNumbers w:val="0"/>
              <w:spacing w:before="0" w:beforeAutospacing="0" w:after="0" w:afterAutospacing="0"/>
              <w:ind w:left="0" w:right="0"/>
              <w:jc w:val="center"/>
              <w:rPr>
                <w:rFonts w:hint="eastAsia" w:ascii="仿宋" w:hAnsi="仿宋" w:eastAsia="仿宋"/>
                <w:sz w:val="24"/>
              </w:rPr>
            </w:pPr>
          </w:p>
          <w:p>
            <w:pPr>
              <w:pStyle w:val="8"/>
              <w:keepNext w:val="0"/>
              <w:keepLines w:val="0"/>
              <w:suppressLineNumbers w:val="0"/>
              <w:spacing w:before="0" w:beforeAutospacing="0" w:after="0" w:afterAutospacing="0"/>
              <w:ind w:left="0" w:right="0"/>
              <w:jc w:val="center"/>
              <w:rPr>
                <w:rFonts w:hint="eastAsia" w:ascii="仿宋" w:hAnsi="仿宋" w:eastAsia="仿宋"/>
                <w:sz w:val="24"/>
                <w:lang w:eastAsia="zh-CN"/>
              </w:rPr>
            </w:pPr>
            <w:r>
              <w:rPr>
                <w:rFonts w:hint="eastAsia" w:ascii="仿宋" w:hAnsi="仿宋" w:eastAsia="仿宋"/>
                <w:sz w:val="24"/>
              </w:rPr>
              <w:t>湖北省</w:t>
            </w:r>
            <w:r>
              <w:rPr>
                <w:rFonts w:hint="eastAsia" w:ascii="仿宋" w:hAnsi="仿宋" w:eastAsia="仿宋"/>
                <w:sz w:val="24"/>
                <w:lang w:eastAsia="zh-CN"/>
              </w:rPr>
              <w:t>生态</w:t>
            </w:r>
            <w:r>
              <w:rPr>
                <w:rFonts w:hint="eastAsia" w:ascii="仿宋" w:hAnsi="仿宋" w:eastAsia="仿宋"/>
                <w:sz w:val="24"/>
              </w:rPr>
              <w:t>环境科学研究院</w:t>
            </w:r>
            <w:r>
              <w:rPr>
                <w:rFonts w:hint="eastAsia" w:ascii="仿宋" w:hAnsi="仿宋" w:eastAsia="仿宋"/>
                <w:sz w:val="24"/>
                <w:lang w:eastAsia="zh-CN"/>
              </w:rPr>
              <w:t>（省生态环境工程评估中心）</w:t>
            </w:r>
          </w:p>
          <w:p>
            <w:pPr>
              <w:pStyle w:val="8"/>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生态环境部土壤与农业农村生态环境监管技术中心</w:t>
            </w:r>
          </w:p>
          <w:p>
            <w:pPr>
              <w:pStyle w:val="8"/>
              <w:keepNext w:val="0"/>
              <w:keepLines w:val="0"/>
              <w:suppressLineNumbers w:val="0"/>
              <w:spacing w:before="0" w:beforeAutospacing="0" w:after="0" w:afterAutospacing="0"/>
              <w:ind w:left="0" w:right="0"/>
              <w:jc w:val="center"/>
              <w:rPr>
                <w:rFonts w:hint="eastAsia" w:ascii="仿宋" w:hAnsi="仿宋" w:eastAsia="仿宋"/>
                <w:sz w:val="24"/>
                <w:lang w:eastAsia="zh-CN"/>
              </w:rPr>
            </w:pPr>
            <w:r>
              <w:rPr>
                <w:rFonts w:hint="eastAsia" w:ascii="仿宋" w:hAnsi="仿宋" w:eastAsia="仿宋"/>
                <w:sz w:val="24"/>
                <w:lang w:eastAsia="zh-CN"/>
              </w:rPr>
              <w:t>中国地质大学（武汉）</w:t>
            </w:r>
          </w:p>
          <w:p>
            <w:pPr>
              <w:pStyle w:val="8"/>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中国市政工程中南设计研究总院有限公司</w:t>
            </w:r>
          </w:p>
          <w:p>
            <w:pPr>
              <w:adjustRightInd w:val="0"/>
              <w:snapToGrid w:val="0"/>
              <w:spacing w:line="360" w:lineRule="exact"/>
              <w:rPr>
                <w:rFonts w:ascii="方正仿宋_GBK" w:eastAsia="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noWrap w:val="0"/>
            <w:vAlign w:val="top"/>
          </w:tcPr>
          <w:p>
            <w:pPr>
              <w:numPr>
                <w:ilvl w:val="0"/>
                <w:numId w:val="0"/>
              </w:numPr>
              <w:adjustRightInd w:val="0"/>
              <w:snapToGrid w:val="0"/>
              <w:spacing w:line="360" w:lineRule="exact"/>
              <w:rPr>
                <w:rFonts w:hint="eastAsia" w:ascii="方正仿宋_GBK" w:hAnsi="宋体" w:eastAsia="方正仿宋_GBK"/>
                <w:color w:val="000000"/>
                <w:sz w:val="28"/>
                <w:szCs w:val="32"/>
                <w:lang w:eastAsia="zh-CN"/>
              </w:rPr>
            </w:pPr>
            <w:r>
              <w:rPr>
                <w:rFonts w:hint="eastAsia" w:ascii="方正仿宋_GBK" w:hAnsi="宋体" w:eastAsia="方正仿宋_GBK"/>
                <w:color w:val="000000"/>
                <w:sz w:val="28"/>
                <w:szCs w:val="32"/>
                <w:lang w:val="en-US" w:eastAsia="zh-CN"/>
              </w:rPr>
              <w:t>1.</w:t>
            </w:r>
            <w:r>
              <w:rPr>
                <w:rFonts w:hint="eastAsia" w:ascii="方正仿宋_GBK" w:hAnsi="宋体" w:eastAsia="方正仿宋_GBK"/>
                <w:color w:val="000000"/>
                <w:sz w:val="28"/>
                <w:szCs w:val="32"/>
              </w:rPr>
              <w:t>项目简介</w:t>
            </w:r>
            <w:r>
              <w:rPr>
                <w:rFonts w:hint="eastAsia" w:ascii="方正仿宋_GBK" w:hAnsi="宋体" w:eastAsia="方正仿宋_GBK"/>
                <w:color w:val="000000"/>
                <w:sz w:val="28"/>
                <w:szCs w:val="32"/>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textAlignment w:val="auto"/>
              <w:rPr>
                <w:rFonts w:hint="eastAsia" w:ascii="仿宋_GB2312" w:eastAsia="仿宋_GB2312"/>
                <w:b/>
                <w:sz w:val="24"/>
                <w:szCs w:val="24"/>
                <w:lang w:eastAsia="zh-CN"/>
              </w:rPr>
            </w:pPr>
            <w:r>
              <w:rPr>
                <w:rFonts w:hint="eastAsia" w:ascii="仿宋_GB2312" w:eastAsia="仿宋_GB2312"/>
                <w:b/>
                <w:sz w:val="24"/>
                <w:szCs w:val="24"/>
                <w:lang w:eastAsia="zh-CN"/>
              </w:rPr>
              <w:t>一、项目的意义</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农村生活污水治理是农村人居环境整治的重要内容，是打赢打好污染防治攻坚战的一项重要任务，是实施乡村振兴的重要举措，是建设美丽中国不可或缺的一部分。“十三五”以来，习近平总书记多次就农村生活污水治理做出批示，国家出台系列政策对农村生活污水治理做出要求。2018年1月，中共中央、国务院发布《关于实施乡村振兴战略的意见》，提出要推进乡村绿色发展，打造人与自然和谐共生发展新格局。2018年9月，中共中央、国务院印发了《乡村振兴战略规划(2018－2022年)》，明确要以建设美丽宜居村庄为导向，以农村垃圾、污水治理和村容村貌提升为主攻方向，开展农村人居环境整治行动，全面提升农村人居环境质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2018年2月，中共中央办公厅、国务院办公厅印发了《农村人居环境整治三年行动方案》，把梯次推进农村生活污水治理作为一项重点任务。提出因地制宜采用污染治理与资源利用相结合、工程措施与生态措施相结合、集中与分散相结合的建设模式和处理工艺；推动城镇污水管网向周边村庄延伸覆盖；加强生活污水源头减量和尾水回收利用等一系列工作举措。2018年11月，生态环境部、农业农村部联合印发《农业农村污染治理攻坚战行动计划》。其中，农村生活污水治理是攻坚战的一项重要任务，明确要坚持政府主导、落实责任，重点突破、梯次推进，加大投入、建管并重，以有效管控农村生活污水乱排乱放为手段，以农村生活污水全面治理和长效治理为导向，全面推进农村污水治理。2019 年7月，国家九部委联合印发《关于推进农村生活污水治理的指导意见》，针对中西部有较好基础、基本具备条件的地区提出“农村生活污水乱排乱放得到有效管控，治理初见成效”，强调要按照实施乡村振兴战略的总要求，立足农村实际，以污水减量化、分类就地处理、循环利用为导向，加强统筹规划、突出重点区域、选择适宜模式、完善标准体系、强化管护机制。2022年1月，国家五部委联合印发《农业农村污染治理攻坚战行动方案（2021-2025）》，要求省级相关部门筛选建立适合本地区的农村生活污水治理模式和技术工艺。</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湖北省委省政府一直以来十分重视农村环境综合整治工作，自2008年起，作为中央农村环境综合整治试点省份，每年都投入大量资金用于农村环境综合整治。随着我省农村生活污水治理工作的深入推进，我省农村生活污水处理设施数量预计将快速增加。2019年5月，省生态环境厅、省农业厅联合印发《湖北省农业农村污染治理实施方案》，提出因地制宜选用建设模式和污水处理工艺，优先整治丹江口水库、长江经济带以及四湖流域等水质需改善的控制单元范围内的村庄；城市近郊区的农村生活污水治理率明显提高；其他有较好基础、基本具备条件的地区生活污水乱排乱放得到有效管控。2022年6月，省生态环境厅、省农业农村厅等五部门联合印发《湖北省农业农村污染治理攻坚战实施方案（2021-2025年）》，提出按照平原、山地、丘陵、缺水和生态敏感区等典型地区，分类完善治理模式，科学合理建设农村生活污水收集和处理设施。2023年底前，重点围绕污水集中式处理、分散式资源化利用等方面进一步筛选完善适合我省的农村生活污水治理模式和技术工艺。</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农村生活污水治理设施包含了设计、建设、验收、运行维护以及达标排放环节。当前，我省已经出台了湖北省《农村生活污水处理设施污染物排放标准》，有效规范了农村生活污水的排放和监督管理。随着农村生活污水处理设施的大规模建设，浮现出诸如技术选用不规范、处理效果不理想的情况，亟需制定农村生活污水处理技术指南，科学指导农村污水处理设施建设。</w:t>
            </w:r>
          </w:p>
          <w:p>
            <w:pPr>
              <w:spacing w:line="360" w:lineRule="exact"/>
              <w:rPr>
                <w:rFonts w:ascii="方正仿宋_GBK" w:hAnsi="仿宋_GB2312" w:eastAsia="方正仿宋_GBK"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noWrap w:val="0"/>
            <w:vAlign w:val="top"/>
          </w:tcPr>
          <w:p>
            <w:pPr>
              <w:adjustRightInd w:val="0"/>
              <w:snapToGrid w:val="0"/>
              <w:spacing w:line="360" w:lineRule="exact"/>
              <w:rPr>
                <w:rFonts w:hint="eastAsia" w:ascii="方正仿宋_GBK" w:eastAsia="方正仿宋_GBK"/>
                <w:color w:val="000000"/>
                <w:sz w:val="28"/>
                <w:szCs w:val="32"/>
                <w:lang w:eastAsia="zh-CN"/>
              </w:rPr>
            </w:pPr>
            <w:r>
              <w:rPr>
                <w:rFonts w:hint="eastAsia" w:ascii="方正仿宋_GBK" w:eastAsia="方正仿宋_GBK"/>
                <w:color w:val="000000"/>
                <w:sz w:val="28"/>
                <w:szCs w:val="32"/>
                <w:lang w:val="en-US" w:eastAsia="zh-CN"/>
              </w:rPr>
              <w:t>2.</w:t>
            </w:r>
            <w:r>
              <w:rPr>
                <w:rFonts w:hint="eastAsia" w:ascii="方正仿宋_GBK" w:eastAsia="方正仿宋_GBK"/>
                <w:color w:val="000000"/>
                <w:sz w:val="28"/>
                <w:szCs w:val="32"/>
              </w:rPr>
              <w:t>技术路线</w:t>
            </w:r>
            <w:r>
              <w:rPr>
                <w:rFonts w:hint="eastAsia" w:ascii="方正仿宋_GBK" w:eastAsia="方正仿宋_GBK"/>
                <w:color w:val="000000"/>
                <w:sz w:val="28"/>
                <w:szCs w:val="32"/>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default" w:ascii="仿宋_GB2312" w:hAnsi="Times New Roman" w:eastAsia="仿宋_GB2312" w:cs="Times New Roman"/>
                <w:bCs/>
                <w:sz w:val="24"/>
                <w:szCs w:val="24"/>
                <w:lang w:eastAsia="zh-CN"/>
              </w:rPr>
            </w:pPr>
            <w:r>
              <w:rPr>
                <w:rFonts w:hint="eastAsia" w:ascii="仿宋_GB2312" w:hAnsi="Times New Roman" w:eastAsia="仿宋_GB2312" w:cs="Times New Roman"/>
                <w:bCs/>
                <w:sz w:val="24"/>
                <w:szCs w:val="24"/>
                <w:lang w:eastAsia="zh-CN"/>
              </w:rPr>
              <w:t>依据国家相关法律法规，参考国内外相关标准规范，遵循“问题导向，规范管理；科学通用，有机衔接；系统全面，突出重点；适用可行，兼顾前瞻”等原则，</w:t>
            </w:r>
            <w:r>
              <w:rPr>
                <w:rFonts w:hint="default" w:ascii="仿宋_GB2312" w:hAnsi="Times New Roman" w:eastAsia="仿宋_GB2312" w:cs="Times New Roman"/>
                <w:bCs/>
                <w:sz w:val="24"/>
                <w:szCs w:val="24"/>
                <w:lang w:val="en-US" w:eastAsia="zh-CN"/>
              </w:rPr>
              <w:t>立足我省农村实际，考虑不同区域差异，在加大调研和研究先期建设农村污水设施样本量的基础上，综合评估治理模式和技术工艺的适用性，筛选低成本、低能耗、易维护、高效率的典型污水治理模式和处理技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hAnsi="Times New Roman" w:eastAsia="仿宋_GB2312" w:cs="Times New Roman"/>
                <w:bCs/>
                <w:sz w:val="24"/>
                <w:szCs w:val="24"/>
                <w:lang w:eastAsia="zh-CN"/>
              </w:rPr>
            </w:pPr>
            <w:r>
              <w:rPr>
                <w:rFonts w:hint="eastAsia" w:ascii="仿宋_GB2312" w:hAnsi="Times New Roman" w:eastAsia="仿宋_GB2312" w:cs="Times New Roman"/>
                <w:bCs/>
                <w:sz w:val="24"/>
                <w:szCs w:val="24"/>
                <w:lang w:eastAsia="zh-CN"/>
              </w:rPr>
              <w:t>技术路线如图所示。</w:t>
            </w:r>
          </w:p>
          <w:p>
            <w:pPr>
              <w:pStyle w:val="10"/>
              <w:keepNext w:val="0"/>
              <w:keepLines w:val="0"/>
              <w:widowControl/>
              <w:suppressLineNumbers w:val="0"/>
              <w:spacing w:before="0" w:beforeAutospacing="0" w:after="0" w:afterAutospacing="0"/>
              <w:ind w:left="0" w:right="0"/>
              <w:rPr>
                <w:rFonts w:hint="eastAsia" w:ascii="方正仿宋_GBK" w:hAnsi="仿宋_GB2312" w:eastAsia="方正仿宋_GBK" w:cs="仿宋_GB2312"/>
                <w:sz w:val="28"/>
                <w:szCs w:val="32"/>
              </w:rPr>
            </w:pPr>
            <w:r>
              <w:rPr>
                <w:rFonts w:hint="default"/>
                <w:color w:val="000000" w:themeColor="text1"/>
                <w:szCs w:val="20"/>
                <w14:textFill>
                  <w14:solidFill>
                    <w14:schemeClr w14:val="tx1"/>
                  </w14:solidFill>
                </w14:textFill>
              </w:rPr>
              <w:drawing>
                <wp:inline distT="0" distB="0" distL="0" distR="0">
                  <wp:extent cx="4351655" cy="4778375"/>
                  <wp:effectExtent l="0" t="0" r="10795" b="3175"/>
                  <wp:docPr id="3" name="IM 1"/>
                  <wp:cNvGraphicFramePr/>
                  <a:graphic xmlns:a="http://schemas.openxmlformats.org/drawingml/2006/main">
                    <a:graphicData uri="http://schemas.openxmlformats.org/drawingml/2006/picture">
                      <pic:pic xmlns:pic="http://schemas.openxmlformats.org/drawingml/2006/picture">
                        <pic:nvPicPr>
                          <pic:cNvPr id="3" name="IM 1"/>
                          <pic:cNvPicPr/>
                        </pic:nvPicPr>
                        <pic:blipFill>
                          <a:blip r:embed="rId4"/>
                          <a:stretch>
                            <a:fillRect/>
                          </a:stretch>
                        </pic:blipFill>
                        <pic:spPr>
                          <a:xfrm>
                            <a:off x="0" y="0"/>
                            <a:ext cx="4351655" cy="4778375"/>
                          </a:xfrm>
                          <a:prstGeom prst="rect">
                            <a:avLst/>
                          </a:prstGeom>
                          <a:noFill/>
                          <a:ln>
                            <a:noFill/>
                          </a:ln>
                        </pic:spPr>
                      </pic:pic>
                    </a:graphicData>
                  </a:graphic>
                </wp:inline>
              </w:drawing>
            </w:r>
          </w:p>
          <w:p>
            <w:pPr>
              <w:spacing w:line="360" w:lineRule="exact"/>
              <w:rPr>
                <w:rFonts w:ascii="方正仿宋_GBK" w:hAnsi="仿宋_GB2312" w:eastAsia="方正仿宋_GBK" w:cs="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noWrap w:val="0"/>
            <w:vAlign w:val="top"/>
          </w:tcPr>
          <w:p>
            <w:pPr>
              <w:numPr>
                <w:ilvl w:val="0"/>
                <w:numId w:val="1"/>
              </w:numPr>
              <w:adjustRightInd w:val="0"/>
              <w:snapToGrid w:val="0"/>
              <w:spacing w:line="360" w:lineRule="exact"/>
              <w:rPr>
                <w:rFonts w:hint="eastAsia" w:ascii="方正仿宋_GBK" w:eastAsia="方正仿宋_GBK"/>
                <w:color w:val="000000"/>
                <w:sz w:val="28"/>
                <w:szCs w:val="28"/>
              </w:rPr>
            </w:pPr>
            <w:r>
              <w:rPr>
                <w:rFonts w:hint="eastAsia" w:ascii="方正仿宋_GBK" w:eastAsia="方正仿宋_GBK"/>
                <w:color w:val="000000"/>
                <w:sz w:val="28"/>
                <w:szCs w:val="28"/>
              </w:rPr>
              <w:t>标准比对</w:t>
            </w:r>
            <w:r>
              <w:rPr>
                <w:rFonts w:hint="eastAsia" w:ascii="方正仿宋_GBK" w:eastAsia="方正仿宋_GBK"/>
                <w:color w:val="000000"/>
                <w:sz w:val="28"/>
                <w:szCs w:val="28"/>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2" w:firstLineChars="200"/>
              <w:textAlignment w:val="auto"/>
              <w:rPr>
                <w:rFonts w:hint="eastAsia" w:ascii="仿宋_GB2312" w:eastAsia="仿宋_GB2312"/>
                <w:b/>
                <w:bCs w:val="0"/>
                <w:sz w:val="24"/>
                <w:szCs w:val="24"/>
                <w:lang w:eastAsia="zh-CN"/>
              </w:rPr>
            </w:pPr>
            <w:r>
              <w:rPr>
                <w:rFonts w:hint="eastAsia" w:ascii="仿宋_GB2312" w:eastAsia="仿宋_GB2312"/>
                <w:b/>
                <w:bCs w:val="0"/>
                <w:sz w:val="24"/>
                <w:szCs w:val="24"/>
                <w:lang w:eastAsia="zh-CN"/>
              </w:rPr>
              <w:t>（</w:t>
            </w:r>
            <w:r>
              <w:rPr>
                <w:rFonts w:hint="eastAsia" w:ascii="仿宋_GB2312" w:eastAsia="仿宋_GB2312"/>
                <w:b/>
                <w:bCs w:val="0"/>
                <w:sz w:val="24"/>
                <w:szCs w:val="24"/>
                <w:lang w:val="en-US" w:eastAsia="zh-CN"/>
              </w:rPr>
              <w:t>1</w:t>
            </w:r>
            <w:r>
              <w:rPr>
                <w:rFonts w:hint="eastAsia" w:ascii="仿宋_GB2312" w:eastAsia="仿宋_GB2312"/>
                <w:b/>
                <w:bCs w:val="0"/>
                <w:sz w:val="24"/>
                <w:szCs w:val="24"/>
                <w:lang w:eastAsia="zh-CN"/>
              </w:rPr>
              <w:t>）国内外农村生活污水处理技术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val="en-US" w:eastAsia="zh-CN"/>
              </w:rPr>
              <w:t>1、</w:t>
            </w:r>
            <w:r>
              <w:rPr>
                <w:rFonts w:hint="eastAsia" w:ascii="仿宋_GB2312" w:eastAsia="仿宋_GB2312"/>
                <w:bCs/>
                <w:sz w:val="24"/>
                <w:szCs w:val="24"/>
                <w:lang w:eastAsia="zh-CN"/>
              </w:rPr>
              <w:t>国外农村生活污水处理技术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国外对农村生活污水处理技术的研究工作开展较早，目前已有较为成熟的技术与工艺。美国是农村生活污水处理的先行者，早在19世纪中叶，美国就对农村污水处理问题给予了关注，开始建设农村污水处理设施。2003年，美国环保局发布的《分散处理系统管理指南》提出了5种运营模式：1）业主自主模式，适于环境最不敏感地区，2）协议维护模式，适于工艺较为复杂的系统，3）许可运行模式，适于水环境敏感区域，4）集中运行模式，适于环境敏感地区和设施运行维护要求高的情况，5）集中运营模式，与集中处理相似，适于环境最敏感的地区。分散处理是其乡村采用的主要模式，使用家庭占比接近25%，包括以化粪池和土壤渗滤为核心的原位处理系统和以“化粪池—生化处理—土地处理”为流程的群集处理系统。</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日本从1977年实行农村污水处理计划，到2006年，日本乡村污水治理服务的人口约占全国的31%。日本农村生活污水治理包括三种模式。1）家庭净化槽模式，包括①在集中处理区域的周边地区实施家庭粪便废水处理；②以饮用水水源地保护为目的的特定地域生活污水处理设施；③个人家庭设置时,由政府补助的合并处理净化槽。2）村落排水设施①20户以上、1000人以下的农业村落排水设施；②100-5000人的渔业村落排水设施；③20户以上的林业村落排水设施；④山村地区 3 户以上、20 户以下的简易排水设施；⑤10户以上、20 户以下的小规模集合排水处理设施。3）集体宿舍处理设施服务人口1-3万人。</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欧盟方面处理工艺多样且相对成熟，法国以蚯蚓生态滤池为代表，德国采用分流污水处理系统，包括分散市镇基础设施系统、PKA湿地污水处理系统和多样性污水分类处理系统。</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val="en-US" w:eastAsia="zh-CN"/>
              </w:rPr>
              <w:t>2、</w:t>
            </w:r>
            <w:r>
              <w:rPr>
                <w:rFonts w:hint="eastAsia" w:ascii="仿宋_GB2312" w:eastAsia="仿宋_GB2312"/>
                <w:bCs/>
                <w:sz w:val="24"/>
                <w:szCs w:val="24"/>
                <w:lang w:eastAsia="zh-CN"/>
              </w:rPr>
              <w:t>国内农村生活污水处理技术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我国从上个世纪 80年代开始开展农村生活污水分散处理技术的开发研究和研制工作。陕西科技大学谢林花等通过对我国2000-2016 年共计119项≤1000m3/天的农村生活污水处理实际工程案例文献分析，发现我国农村生活污水处理技术可分别归入生物处理、生态处理和组合处理这3种技术模式，其占比分别为5.88%、14.29%和79.83%。生态处理技术中，人工湿地、氧化塘和土地渗滤工艺占比分别为72.22%、11.11%和16.67%。组合处理技术中，以生物+生态处理组合占比最多，为71.28%，生物+生物和生态+生态处理组合占比分别为19.15%和 9.57%。由此可知，农村生活污水处理技术中组合处理技术使用频率最高，其次是生态处理技术，使用最少的是单一的生物处理技术。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2" w:firstLineChars="200"/>
              <w:textAlignment w:val="auto"/>
              <w:rPr>
                <w:rFonts w:hint="eastAsia" w:ascii="仿宋_GB2312" w:eastAsia="仿宋_GB2312"/>
                <w:b/>
                <w:bCs w:val="0"/>
                <w:sz w:val="24"/>
                <w:szCs w:val="24"/>
                <w:lang w:eastAsia="zh-CN"/>
              </w:rPr>
            </w:pPr>
            <w:r>
              <w:rPr>
                <w:rFonts w:hint="eastAsia" w:ascii="仿宋_GB2312" w:eastAsia="仿宋_GB2312"/>
                <w:b/>
                <w:bCs w:val="0"/>
                <w:sz w:val="24"/>
                <w:szCs w:val="24"/>
                <w:lang w:eastAsia="zh-CN"/>
              </w:rPr>
              <w:t>（</w:t>
            </w:r>
            <w:r>
              <w:rPr>
                <w:rFonts w:hint="eastAsia" w:ascii="仿宋_GB2312" w:eastAsia="仿宋_GB2312"/>
                <w:b/>
                <w:bCs w:val="0"/>
                <w:sz w:val="24"/>
                <w:szCs w:val="24"/>
                <w:lang w:val="en-US" w:eastAsia="zh-CN"/>
              </w:rPr>
              <w:t>2</w:t>
            </w:r>
            <w:r>
              <w:rPr>
                <w:rFonts w:hint="eastAsia" w:ascii="仿宋_GB2312" w:eastAsia="仿宋_GB2312"/>
                <w:b/>
                <w:bCs w:val="0"/>
                <w:sz w:val="24"/>
                <w:szCs w:val="24"/>
                <w:lang w:eastAsia="zh-CN"/>
              </w:rPr>
              <w:t>）国内外农村生活污水处理技术指南制定情况</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val="en-US" w:eastAsia="zh-CN"/>
              </w:rPr>
              <w:t>1、</w:t>
            </w:r>
            <w:r>
              <w:rPr>
                <w:rFonts w:hint="eastAsia" w:ascii="仿宋_GB2312" w:eastAsia="仿宋_GB2312"/>
                <w:bCs/>
                <w:sz w:val="24"/>
                <w:szCs w:val="24"/>
                <w:lang w:eastAsia="zh-CN"/>
              </w:rPr>
              <w:t>国外技术指南制定情况</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国外发达国家农村生活污水处理开展较早，相关技术指南或规范体系相对完善。美国农村生活污水处理主要参照《清洁水法》及美国国家环境保护局发布的《分散处理手册》和《分散处理系统管理指南》。英国农村生活污水处理主要适用《水资源法案》和《环境法案》。欧盟成员国自然和经济条件差异大，对农村生活污水处理和排放无统一硬性指标，各国结合污染综合防治指令和水政策行动框架并结合实际制定处理要求，如芬兰主要参照2003年的《排水管网以外地区生活污水处理政府法令》。日本农村生活污水处理主要以《净化槽法》为核心构建标准体系和政府主导的实施体系，配套实施《净化槽法施行规则》《合并处理净化槽结构标准》和《净化槽构造标准及解说》，形成系统性的指引和规范体系。</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val="en-US" w:eastAsia="zh-CN"/>
              </w:rPr>
              <w:t>2、</w:t>
            </w:r>
            <w:r>
              <w:rPr>
                <w:rFonts w:hint="eastAsia" w:ascii="仿宋_GB2312" w:eastAsia="仿宋_GB2312"/>
                <w:bCs/>
                <w:sz w:val="24"/>
                <w:szCs w:val="24"/>
                <w:lang w:eastAsia="zh-CN"/>
              </w:rPr>
              <w:t>我国国家层面技术指南制定情况</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原环境保护部于2010年发布了《农村生活污染控制技术规范》(HJ574—2010)，2013年发布了《农村生活污水处理项目建设与投资指南》；住房和城乡建设部2010年发布了我国东北、华北、东南、中南、西南和西北六大地区的农村生活污水处理技术指南，并在2019年进一步出台《农村生活污水处理工程技术标准》(GB/T51347—2019)；2020 年，农业农村部办公厅、国家卫生健康委办公厅和生态环境部办公厅联合发布了《农村厕所粪污无害化处理与资源化利用指南》。以上技术规范、指南或标准初步构成了国家农村生活污水处理技术指南体系，为各地区农村生活污水处理提供规范性的指导。</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val="en-US" w:eastAsia="zh-CN"/>
              </w:rPr>
              <w:t>3、</w:t>
            </w:r>
            <w:r>
              <w:rPr>
                <w:rFonts w:hint="eastAsia" w:ascii="仿宋_GB2312" w:eastAsia="仿宋_GB2312"/>
                <w:bCs/>
                <w:sz w:val="24"/>
                <w:szCs w:val="24"/>
                <w:lang w:eastAsia="zh-CN"/>
              </w:rPr>
              <w:t>我国地方层面技术指南制定情况</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自2008年起，上海、江苏等地率先出台农村生活污水处理技术指南。截至 2021年年底，全国已有上海、福建、浙江、河南、贵州、青海、江苏、广西、宁夏、辽宁、海南、河北、山西、湖南、云南、江西等16个省(区、市)出台技术指南(指引、导则或规范) 等文件。总体上，地方技术指南主要从适用范围、设计水量和水质、处理工艺及选择等方面提出农村生活污水处理具体要求,不同省份间指南框架略有差异。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eastAsia="仿宋_GB2312"/>
                <w:bCs/>
                <w:sz w:val="24"/>
                <w:szCs w:val="24"/>
                <w:lang w:eastAsia="zh-CN"/>
              </w:rPr>
            </w:pPr>
            <w:r>
              <w:rPr>
                <w:rFonts w:hint="eastAsia" w:ascii="仿宋_GB2312" w:eastAsia="仿宋_GB2312"/>
                <w:bCs/>
                <w:sz w:val="24"/>
                <w:szCs w:val="24"/>
                <w:lang w:eastAsia="zh-CN"/>
              </w:rPr>
              <w:t>目前，我省在省级层面尚未出台农村生活污水处理技术指南，且我省2021年底农村生活污水处理率仅24%，处于较低水平。在“十四五”期间需要加快建设和规范化指导农村生活污水处理设施。</w:t>
            </w:r>
          </w:p>
          <w:p>
            <w:pPr>
              <w:adjustRightInd w:val="0"/>
              <w:snapToGrid w:val="0"/>
              <w:spacing w:line="360" w:lineRule="exact"/>
              <w:rPr>
                <w:rFonts w:ascii="方正仿宋_GBK" w:eastAsia="方正仿宋_GBK"/>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8" w:hRule="atLeast"/>
          <w:jc w:val="center"/>
        </w:trPr>
        <w:tc>
          <w:tcPr>
            <w:tcW w:w="5000" w:type="pct"/>
            <w:gridSpan w:val="4"/>
            <w:noWrap w:val="0"/>
            <w:vAlign w:val="top"/>
          </w:tcPr>
          <w:p>
            <w:pPr>
              <w:numPr>
                <w:ilvl w:val="0"/>
                <w:numId w:val="1"/>
              </w:numPr>
              <w:adjustRightInd w:val="0"/>
              <w:snapToGrid w:val="0"/>
              <w:spacing w:line="360" w:lineRule="exact"/>
              <w:ind w:left="0" w:leftChars="0" w:firstLine="0" w:firstLineChars="0"/>
              <w:rPr>
                <w:rFonts w:hint="eastAsia" w:ascii="方正仿宋_GBK" w:eastAsia="方正仿宋_GBK"/>
                <w:color w:val="000000"/>
                <w:sz w:val="28"/>
                <w:szCs w:val="28"/>
                <w:lang w:eastAsia="zh-CN"/>
              </w:rPr>
            </w:pPr>
            <w:r>
              <w:rPr>
                <w:rFonts w:hint="eastAsia" w:ascii="方正仿宋_GBK" w:eastAsia="方正仿宋_GBK"/>
                <w:color w:val="000000"/>
                <w:sz w:val="28"/>
                <w:szCs w:val="28"/>
              </w:rPr>
              <w:t>风险分析</w:t>
            </w:r>
            <w:r>
              <w:rPr>
                <w:rFonts w:hint="eastAsia" w:ascii="方正仿宋_GBK" w:eastAsia="方正仿宋_GBK"/>
                <w:color w:val="000000"/>
                <w:sz w:val="28"/>
                <w:szCs w:val="28"/>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仿宋_GB2312" w:hAnsi="Times New Roman" w:eastAsia="仿宋_GB2312" w:cs="Times New Roman"/>
                <w:bCs/>
                <w:sz w:val="24"/>
                <w:szCs w:val="24"/>
                <w:lang w:eastAsia="zh-CN"/>
              </w:rPr>
            </w:pPr>
            <w:r>
              <w:rPr>
                <w:rFonts w:hint="eastAsia" w:ascii="仿宋_GB2312" w:hAnsi="Times New Roman" w:eastAsia="仿宋_GB2312" w:cs="Times New Roman"/>
                <w:bCs/>
                <w:sz w:val="24"/>
                <w:szCs w:val="24"/>
                <w:lang w:eastAsia="zh-CN"/>
              </w:rPr>
              <w:t>无</w:t>
            </w:r>
          </w:p>
          <w:p>
            <w:pPr>
              <w:spacing w:line="360" w:lineRule="exact"/>
              <w:ind w:firstLine="646"/>
              <w:rPr>
                <w:rFonts w:ascii="方正仿宋_GBK" w:hAnsi="仿宋_GB2312" w:eastAsia="方正仿宋_GBK" w:cs="仿宋_GB2312"/>
                <w:sz w:val="28"/>
                <w:szCs w:val="32"/>
              </w:rPr>
            </w:pPr>
          </w:p>
          <w:p>
            <w:pPr>
              <w:spacing w:line="360" w:lineRule="exact"/>
              <w:rPr>
                <w:rFonts w:ascii="方正仿宋_GBK" w:hAnsi="仿宋_GB2312" w:eastAsia="方正仿宋_GBK" w:cs="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9" w:hRule="atLeast"/>
          <w:jc w:val="center"/>
        </w:trPr>
        <w:tc>
          <w:tcPr>
            <w:tcW w:w="5000" w:type="pct"/>
            <w:gridSpan w:val="4"/>
            <w:noWrap w:val="0"/>
            <w:vAlign w:val="top"/>
          </w:tcPr>
          <w:p>
            <w:pPr>
              <w:adjustRightInd w:val="0"/>
              <w:snapToGrid w:val="0"/>
              <w:spacing w:line="360" w:lineRule="exact"/>
              <w:rPr>
                <w:rFonts w:hint="eastAsia" w:ascii="方正仿宋_GBK" w:eastAsia="方正仿宋_GBK"/>
                <w:color w:val="000000"/>
                <w:sz w:val="28"/>
                <w:szCs w:val="28"/>
                <w:lang w:eastAsia="zh-CN"/>
              </w:rPr>
            </w:pPr>
            <w:r>
              <w:rPr>
                <w:rFonts w:hint="eastAsia" w:ascii="方正仿宋_GBK" w:eastAsia="方正仿宋_GBK"/>
                <w:color w:val="000000"/>
                <w:sz w:val="28"/>
                <w:szCs w:val="28"/>
                <w:lang w:val="en-US" w:eastAsia="zh-CN"/>
              </w:rPr>
              <w:t>5</w:t>
            </w:r>
            <w:r>
              <w:rPr>
                <w:rFonts w:hint="eastAsia" w:ascii="方正仿宋_GBK" w:eastAsia="方正仿宋_GBK"/>
                <w:color w:val="000000"/>
                <w:sz w:val="28"/>
                <w:szCs w:val="28"/>
              </w:rPr>
              <w:t>.</w:t>
            </w:r>
            <w:r>
              <w:rPr>
                <w:rFonts w:hint="eastAsia" w:ascii="方正仿宋_GBK" w:eastAsia="方正仿宋_GBK"/>
                <w:color w:val="000000"/>
                <w:sz w:val="28"/>
                <w:szCs w:val="28"/>
                <w:lang w:eastAsia="zh-CN"/>
              </w:rPr>
              <w:t>宣贯实施</w:t>
            </w:r>
            <w:r>
              <w:rPr>
                <w:rFonts w:hint="eastAsia" w:ascii="方正仿宋_GBK" w:eastAsia="方正仿宋_GBK"/>
                <w:color w:val="000000"/>
                <w:sz w:val="28"/>
                <w:szCs w:val="28"/>
              </w:rPr>
              <w:t>计划</w:t>
            </w:r>
            <w:r>
              <w:rPr>
                <w:rFonts w:hint="eastAsia" w:ascii="方正仿宋_GBK" w:eastAsia="方正仿宋_GBK"/>
                <w:color w:val="000000"/>
                <w:sz w:val="28"/>
                <w:szCs w:val="28"/>
                <w:lang w:eastAsia="zh-CN"/>
              </w:rPr>
              <w:t>：</w:t>
            </w:r>
          </w:p>
          <w:p>
            <w:pPr>
              <w:pStyle w:val="8"/>
              <w:keepNext w:val="0"/>
              <w:keepLines w:val="0"/>
              <w:pageBreakBefore w:val="0"/>
              <w:widowControl w:val="0"/>
              <w:suppressLineNumbers w:val="0"/>
              <w:tabs>
                <w:tab w:val="left" w:pos="802"/>
              </w:tabs>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default" w:ascii="仿宋" w:hAnsi="仿宋" w:eastAsia="仿宋"/>
                <w:sz w:val="24"/>
                <w:szCs w:val="24"/>
                <w:lang w:val="en-US" w:eastAsia="zh-CN"/>
              </w:rPr>
            </w:pPr>
          </w:p>
          <w:p>
            <w:pPr>
              <w:pStyle w:val="5"/>
              <w:widowControl w:val="0"/>
              <w:spacing w:before="0" w:beforeAutospacing="0" w:after="0" w:afterAutospacing="0" w:line="360" w:lineRule="exact"/>
              <w:ind w:firstLine="560" w:firstLineChars="200"/>
              <w:jc w:val="both"/>
              <w:rPr>
                <w:rFonts w:ascii="方正仿宋_GBK" w:hAnsi="仿宋_GB2312" w:eastAsia="方正仿宋_GBK" w:cs="仿宋_GB2312"/>
                <w:kern w:val="2"/>
                <w:sz w:val="28"/>
                <w:szCs w:val="32"/>
              </w:rPr>
            </w:pPr>
          </w:p>
          <w:p>
            <w:pPr>
              <w:pStyle w:val="5"/>
              <w:widowControl w:val="0"/>
              <w:spacing w:before="0" w:beforeAutospacing="0" w:after="0" w:afterAutospacing="0" w:line="360" w:lineRule="exact"/>
              <w:ind w:firstLine="560" w:firstLineChars="200"/>
              <w:jc w:val="both"/>
              <w:rPr>
                <w:rFonts w:ascii="方正仿宋_GBK" w:hAnsi="仿宋_GB2312" w:eastAsia="方正仿宋_GBK" w:cs="仿宋_GB2312"/>
                <w:kern w:val="2"/>
                <w:sz w:val="28"/>
                <w:szCs w:val="32"/>
              </w:rPr>
            </w:pPr>
          </w:p>
          <w:p>
            <w:pPr>
              <w:pStyle w:val="5"/>
              <w:widowControl w:val="0"/>
              <w:spacing w:before="0" w:beforeAutospacing="0" w:after="0" w:afterAutospacing="0" w:line="360" w:lineRule="exact"/>
              <w:ind w:firstLine="560" w:firstLineChars="200"/>
              <w:jc w:val="both"/>
              <w:rPr>
                <w:rFonts w:ascii="方正仿宋_GBK"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1" w:hRule="atLeast"/>
          <w:jc w:val="center"/>
        </w:trPr>
        <w:tc>
          <w:tcPr>
            <w:tcW w:w="5000" w:type="pct"/>
            <w:gridSpan w:val="4"/>
            <w:noWrap w:val="0"/>
            <w:vAlign w:val="top"/>
          </w:tcPr>
          <w:p>
            <w:pPr>
              <w:pStyle w:val="5"/>
              <w:widowControl w:val="0"/>
              <w:spacing w:before="0" w:beforeAutospacing="0" w:after="0" w:afterAutospacing="0" w:line="360" w:lineRule="exact"/>
              <w:jc w:val="both"/>
              <w:rPr>
                <w:rFonts w:hint="eastAsia" w:ascii="方正仿宋_GBK" w:hAnsi="仿宋_GB2312" w:eastAsia="方正仿宋_GBK" w:cs="仿宋_GB2312"/>
                <w:kern w:val="2"/>
                <w:sz w:val="28"/>
                <w:szCs w:val="32"/>
                <w:lang w:eastAsia="zh-CN"/>
              </w:rPr>
            </w:pPr>
            <w:r>
              <w:rPr>
                <w:rFonts w:hint="eastAsia" w:ascii="方正仿宋_GBK" w:hAnsi="仿宋_GB2312" w:eastAsia="方正仿宋_GBK" w:cs="仿宋_GB2312"/>
                <w:kern w:val="2"/>
                <w:sz w:val="28"/>
                <w:szCs w:val="32"/>
                <w:lang w:val="en-US" w:eastAsia="zh-CN"/>
              </w:rPr>
              <w:t>6</w:t>
            </w:r>
            <w:r>
              <w:rPr>
                <w:rFonts w:hint="eastAsia" w:ascii="方正仿宋_GBK" w:hAnsi="仿宋_GB2312" w:eastAsia="方正仿宋_GBK" w:cs="仿宋_GB2312"/>
                <w:kern w:val="2"/>
                <w:sz w:val="28"/>
                <w:szCs w:val="32"/>
              </w:rPr>
              <w:t>.专家组</w:t>
            </w:r>
            <w:r>
              <w:rPr>
                <w:rFonts w:hint="eastAsia" w:ascii="方正仿宋_GBK" w:hAnsi="仿宋_GB2312" w:eastAsia="方正仿宋_GBK" w:cs="仿宋_GB2312"/>
                <w:kern w:val="2"/>
                <w:sz w:val="28"/>
                <w:szCs w:val="32"/>
                <w:lang w:eastAsia="zh-CN"/>
              </w:rPr>
              <w:t>：</w:t>
            </w:r>
          </w:p>
          <w:p>
            <w:pPr>
              <w:pStyle w:val="5"/>
              <w:widowControl w:val="0"/>
              <w:spacing w:before="0" w:beforeAutospacing="0" w:after="0" w:afterAutospacing="0" w:line="360" w:lineRule="exact"/>
              <w:ind w:firstLine="560" w:firstLineChars="200"/>
              <w:jc w:val="both"/>
              <w:rPr>
                <w:rFonts w:ascii="方正仿宋_GBK" w:hAnsi="仿宋_GB2312" w:eastAsia="方正仿宋_GBK" w:cs="仿宋_GB2312"/>
                <w:kern w:val="2"/>
                <w:sz w:val="28"/>
                <w:szCs w:val="32"/>
              </w:rPr>
            </w:pPr>
          </w:p>
          <w:p>
            <w:pPr>
              <w:pStyle w:val="5"/>
              <w:widowControl w:val="0"/>
              <w:spacing w:before="0" w:beforeAutospacing="0" w:after="0" w:afterAutospacing="0" w:line="360" w:lineRule="exact"/>
              <w:jc w:val="both"/>
              <w:rPr>
                <w:rFonts w:ascii="方正仿宋_GBK" w:hAnsi="仿宋_GB2312" w:eastAsia="方正仿宋_GBK" w:cs="仿宋_GB2312"/>
                <w:sz w:val="28"/>
                <w:szCs w:val="32"/>
              </w:rPr>
            </w:pPr>
          </w:p>
        </w:tc>
      </w:tr>
    </w:tbl>
    <w:p>
      <w:pPr>
        <w:keepNext w:val="0"/>
        <w:keepLines w:val="0"/>
        <w:pageBreakBefore w:val="0"/>
        <w:widowControl w:val="0"/>
        <w:kinsoku/>
        <w:wordWrap/>
        <w:overflowPunct/>
        <w:topLinePunct w:val="0"/>
        <w:autoSpaceDE/>
        <w:autoSpaceDN/>
        <w:bidi w:val="0"/>
        <w:adjustRightInd w:val="0"/>
        <w:snapToGrid w:val="0"/>
        <w:spacing w:line="400" w:lineRule="exact"/>
        <w:textAlignment w:val="auto"/>
      </w:pPr>
      <w:r>
        <w:rPr>
          <w:rFonts w:hint="eastAsia" w:ascii="方正仿宋_GBK" w:eastAsia="方正仿宋_GBK"/>
          <w:b/>
          <w:color w:val="000000"/>
          <w:sz w:val="28"/>
          <w:szCs w:val="28"/>
          <w:lang w:eastAsia="zh-CN"/>
        </w:rPr>
        <w:t>注</w:t>
      </w:r>
      <w:r>
        <w:rPr>
          <w:rFonts w:hint="eastAsia" w:ascii="方正仿宋_GBK" w:eastAsia="方正仿宋_GBK"/>
          <w:b/>
          <w:color w:val="000000"/>
          <w:sz w:val="28"/>
          <w:szCs w:val="28"/>
        </w:rPr>
        <w:t>：</w:t>
      </w:r>
      <w:r>
        <w:rPr>
          <w:rFonts w:hint="eastAsia" w:ascii="方正仿宋_GBK" w:eastAsia="方正仿宋_GBK"/>
          <w:color w:val="000000"/>
          <w:sz w:val="28"/>
          <w:szCs w:val="28"/>
        </w:rPr>
        <w:t>此表可根据内容多少调整格式</w:t>
      </w:r>
      <w:r>
        <w:rPr>
          <w:rFonts w:hint="eastAsia" w:ascii="方正仿宋_GBK" w:eastAsia="方正仿宋_GBK"/>
          <w:color w:val="000000"/>
          <w:sz w:val="28"/>
          <w:szCs w:val="28"/>
          <w:lang w:eastAsia="zh-CN"/>
        </w:rPr>
        <w:t>，填写时删除斜体的填写说明</w:t>
      </w:r>
      <w:r>
        <w:rPr>
          <w:rFonts w:hint="eastAsia" w:ascii="方正仿宋_GBK" w:eastAsia="方正仿宋_GBK"/>
          <w:color w:val="00000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B91F607-E716-4A77-8C0E-246B00FFF26E}"/>
  </w:font>
  <w:font w:name="仿宋_GB2312">
    <w:altName w:val="仿宋"/>
    <w:panose1 w:val="02010609030101010101"/>
    <w:charset w:val="86"/>
    <w:family w:val="modern"/>
    <w:pitch w:val="default"/>
    <w:sig w:usb0="00000000" w:usb1="00000000" w:usb2="00000000" w:usb3="00000000" w:csb0="00040000" w:csb1="00000000"/>
    <w:embedRegular r:id="rId2" w:fontKey="{D36C5043-4D38-4E88-B091-D62E73AAFBBF}"/>
  </w:font>
  <w:font w:name="方正小标宋简体">
    <w:panose1 w:val="02000000000000000000"/>
    <w:charset w:val="86"/>
    <w:family w:val="script"/>
    <w:pitch w:val="default"/>
    <w:sig w:usb0="00000001" w:usb1="08000000" w:usb2="00000000" w:usb3="00000000" w:csb0="00040000" w:csb1="00000000"/>
    <w:embedRegular r:id="rId3" w:fontKey="{6616F5A4-D457-4AD2-9B88-E528D57739CF}"/>
  </w:font>
  <w:font w:name="方正仿宋_GBK">
    <w:altName w:val="Arial Unicode MS"/>
    <w:panose1 w:val="03000509000000000000"/>
    <w:charset w:val="86"/>
    <w:family w:val="auto"/>
    <w:pitch w:val="default"/>
    <w:sig w:usb0="00000000" w:usb1="00000000" w:usb2="00000000" w:usb3="00000000" w:csb0="00040000" w:csb1="00000000"/>
    <w:embedRegular r:id="rId4" w:fontKey="{0ACED6BF-2BB0-4FDA-B309-9EACF7691839}"/>
  </w:font>
  <w:font w:name="仿宋">
    <w:panose1 w:val="02010609060101010101"/>
    <w:charset w:val="86"/>
    <w:family w:val="auto"/>
    <w:pitch w:val="default"/>
    <w:sig w:usb0="800002BF" w:usb1="38CF7CFA" w:usb2="00000016" w:usb3="00000000" w:csb0="00040001" w:csb1="00000000"/>
    <w:embedRegular r:id="rId5" w:fontKey="{C9CA76C3-8271-4EE7-9872-6C5486A33CAA}"/>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AB11E3"/>
    <w:multiLevelType w:val="singleLevel"/>
    <w:tmpl w:val="2CAB11E3"/>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4MjNmNDVlZDA0MmZiYzI3ZGFjMzJhMDU0YTVjZWYifQ=="/>
  </w:docVars>
  <w:rsids>
    <w:rsidRoot w:val="003E36B2"/>
    <w:rsid w:val="003E36B2"/>
    <w:rsid w:val="02D27BCD"/>
    <w:rsid w:val="10481704"/>
    <w:rsid w:val="123855E6"/>
    <w:rsid w:val="24E525AF"/>
    <w:rsid w:val="2B2D6DAC"/>
    <w:rsid w:val="3E5918CB"/>
    <w:rsid w:val="5D9374B8"/>
    <w:rsid w:val="66C60A29"/>
    <w:rsid w:val="6FBF0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2"/>
    <w:basedOn w:val="3"/>
    <w:next w:val="3"/>
    <w:autoRedefine/>
    <w:qFormat/>
    <w:uiPriority w:val="99"/>
    <w:pPr>
      <w:ind w:firstLine="600"/>
    </w:pPr>
    <w:rPr>
      <w:sz w:val="30"/>
      <w:szCs w:val="20"/>
    </w:rPr>
  </w:style>
  <w:style w:type="paragraph" w:styleId="3">
    <w:name w:val="Body Text First Indent 2"/>
    <w:basedOn w:val="4"/>
    <w:autoRedefine/>
    <w:qFormat/>
    <w:uiPriority w:val="0"/>
    <w:pPr>
      <w:ind w:firstLine="420"/>
    </w:pPr>
  </w:style>
  <w:style w:type="paragraph" w:styleId="4">
    <w:name w:val="Body Text Indent"/>
    <w:basedOn w:val="1"/>
    <w:autoRedefine/>
    <w:qFormat/>
    <w:uiPriority w:val="0"/>
    <w:pPr>
      <w:spacing w:after="120"/>
      <w:ind w:left="200" w:leftChars="200"/>
    </w:pPr>
    <w:rPr>
      <w:kern w:val="0"/>
      <w:sz w:val="20"/>
    </w:rPr>
  </w:style>
  <w:style w:type="paragraph" w:styleId="5">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Table Paragraph"/>
    <w:basedOn w:val="1"/>
    <w:autoRedefine/>
    <w:qFormat/>
    <w:uiPriority w:val="1"/>
    <w:rPr>
      <w:rFonts w:ascii="宋体" w:hAnsi="宋体" w:eastAsia="宋体" w:cs="宋体"/>
    </w:rPr>
  </w:style>
  <w:style w:type="paragraph" w:customStyle="1" w:styleId="9">
    <w:name w:val="AB正文"/>
    <w:autoRedefine/>
    <w:qFormat/>
    <w:uiPriority w:val="0"/>
    <w:pPr>
      <w:ind w:firstLine="420" w:firstLineChars="200"/>
      <w:jc w:val="both"/>
    </w:pPr>
    <w:rPr>
      <w:rFonts w:ascii="Times New Roman" w:hAnsi="Times New Roman" w:eastAsia="宋体" w:cs="Arial"/>
      <w:color w:val="000000"/>
      <w:kern w:val="2"/>
      <w:sz w:val="21"/>
      <w:szCs w:val="22"/>
      <w:lang w:val="en-US" w:eastAsia="zh-CN" w:bidi="ar-SA"/>
    </w:rPr>
  </w:style>
  <w:style w:type="paragraph" w:customStyle="1" w:styleId="10">
    <w:name w:val="表格格式"/>
    <w:basedOn w:val="11"/>
    <w:autoRedefine/>
    <w:qFormat/>
    <w:uiPriority w:val="0"/>
    <w:pPr>
      <w:spacing w:after="100" w:afterAutospacing="1"/>
    </w:pPr>
    <w:rPr>
      <w:rFonts w:eastAsia="宋体"/>
    </w:rPr>
  </w:style>
  <w:style w:type="paragraph" w:customStyle="1" w:styleId="11">
    <w:name w:val="表格"/>
    <w:autoRedefine/>
    <w:qFormat/>
    <w:uiPriority w:val="0"/>
    <w:pPr>
      <w:jc w:val="center"/>
    </w:pPr>
    <w:rPr>
      <w:rFonts w:ascii="Times New Roman" w:hAnsi="Times New Roman" w:eastAsia="仿宋_GB2312" w:cs="Times New Roman"/>
      <w:kern w:val="2"/>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435</Words>
  <Characters>439</Characters>
  <Lines>0</Lines>
  <Paragraphs>0</Paragraphs>
  <TotalTime>10</TotalTime>
  <ScaleCrop>false</ScaleCrop>
  <LinksUpToDate>false</LinksUpToDate>
  <CharactersWithSpaces>451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2023-05-17T03:10:00Z</dcterms:created>
  <dc:creator>程远佳</dc:creator>
  <cp:lastModifiedBy>h y</cp:lastModifiedBy>
  <dcterms:modified xsi:type="dcterms:W3CDTF">2023-12-29T06:45:17Z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A1B0EF4210704750B59373D91BBE1871_13</vt:lpwstr>
  </property>
</Properties>
</file>