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A6" w:rsidRDefault="00527B77">
      <w:pPr>
        <w:adjustRightInd w:val="0"/>
        <w:snapToGrid w:val="0"/>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湖北省地方标准编制说明</w:t>
      </w:r>
    </w:p>
    <w:p w:rsidR="005902A6" w:rsidRDefault="005902A6">
      <w:pPr>
        <w:adjustRightInd w:val="0"/>
        <w:snapToGrid w:val="0"/>
        <w:spacing w:line="300" w:lineRule="exact"/>
        <w:jc w:val="right"/>
        <w:rPr>
          <w:rFonts w:ascii="方正小标宋简体" w:eastAsia="方正小标宋简体"/>
          <w:color w:val="000000"/>
          <w:sz w:val="44"/>
          <w:szCs w:val="44"/>
        </w:rPr>
      </w:pPr>
    </w:p>
    <w:p w:rsidR="005902A6" w:rsidRPr="00786B66" w:rsidRDefault="00527B77">
      <w:pPr>
        <w:adjustRightInd w:val="0"/>
        <w:snapToGrid w:val="0"/>
        <w:spacing w:line="560" w:lineRule="exact"/>
        <w:jc w:val="right"/>
        <w:rPr>
          <w:rFonts w:ascii="仿宋_GB2312" w:eastAsia="仿宋_GB2312" w:hAnsi="宋体"/>
          <w:color w:val="000000"/>
          <w:sz w:val="32"/>
          <w:szCs w:val="32"/>
        </w:rPr>
      </w:pPr>
      <w:r w:rsidRPr="00786B66">
        <w:rPr>
          <w:rFonts w:ascii="仿宋_GB2312" w:eastAsia="仿宋_GB2312" w:hAnsi="宋体" w:hint="eastAsia"/>
          <w:color w:val="000000"/>
          <w:sz w:val="32"/>
          <w:szCs w:val="32"/>
        </w:rPr>
        <w:t>202</w:t>
      </w:r>
      <w:r w:rsidR="002A171D" w:rsidRPr="00786B66">
        <w:rPr>
          <w:rFonts w:ascii="仿宋_GB2312" w:eastAsia="仿宋_GB2312" w:hAnsi="宋体" w:hint="eastAsia"/>
          <w:color w:val="000000"/>
          <w:sz w:val="32"/>
          <w:szCs w:val="32"/>
        </w:rPr>
        <w:t>4</w:t>
      </w:r>
      <w:r w:rsidRPr="00786B66">
        <w:rPr>
          <w:rFonts w:ascii="仿宋_GB2312" w:eastAsia="仿宋_GB2312" w:hAnsi="宋体" w:hint="eastAsia"/>
          <w:color w:val="000000"/>
          <w:sz w:val="32"/>
          <w:szCs w:val="32"/>
        </w:rPr>
        <w:t>年</w:t>
      </w:r>
      <w:r w:rsidR="002A171D" w:rsidRPr="00786B66">
        <w:rPr>
          <w:rFonts w:ascii="仿宋_GB2312" w:eastAsia="仿宋_GB2312" w:hAnsi="宋体" w:hint="eastAsia"/>
          <w:color w:val="000000"/>
          <w:sz w:val="32"/>
          <w:szCs w:val="32"/>
        </w:rPr>
        <w:t>2</w:t>
      </w:r>
      <w:r w:rsidRPr="00786B66">
        <w:rPr>
          <w:rFonts w:ascii="仿宋_GB2312" w:eastAsia="仿宋_GB2312" w:hAnsi="宋体" w:hint="eastAsia"/>
          <w:color w:val="000000"/>
          <w:sz w:val="32"/>
          <w:szCs w:val="32"/>
        </w:rPr>
        <w:t>月20日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62"/>
        <w:gridCol w:w="1374"/>
        <w:gridCol w:w="2516"/>
      </w:tblGrid>
      <w:tr w:rsidR="005902A6" w:rsidRPr="00786B66" w:rsidTr="00334231">
        <w:trPr>
          <w:trHeight w:val="822"/>
          <w:jc w:val="center"/>
        </w:trPr>
        <w:tc>
          <w:tcPr>
            <w:tcW w:w="1215" w:type="pct"/>
            <w:shd w:val="clear" w:color="auto" w:fill="auto"/>
            <w:vAlign w:val="center"/>
          </w:tcPr>
          <w:p w:rsidR="005902A6" w:rsidRPr="00786B66" w:rsidRDefault="00527B77">
            <w:pPr>
              <w:adjustRightInd w:val="0"/>
              <w:snapToGrid w:val="0"/>
              <w:spacing w:line="360" w:lineRule="exact"/>
              <w:jc w:val="distribute"/>
              <w:rPr>
                <w:rFonts w:ascii="仿宋_GB2312" w:eastAsia="仿宋_GB2312"/>
                <w:color w:val="000000"/>
                <w:sz w:val="28"/>
                <w:szCs w:val="32"/>
              </w:rPr>
            </w:pPr>
            <w:r w:rsidRPr="00786B66">
              <w:rPr>
                <w:rFonts w:ascii="仿宋_GB2312" w:eastAsia="仿宋_GB2312" w:hint="eastAsia"/>
                <w:color w:val="000000"/>
                <w:sz w:val="28"/>
                <w:szCs w:val="32"/>
              </w:rPr>
              <w:t>标准名称</w:t>
            </w:r>
          </w:p>
        </w:tc>
        <w:tc>
          <w:tcPr>
            <w:tcW w:w="3785" w:type="pct"/>
            <w:gridSpan w:val="3"/>
            <w:shd w:val="clear" w:color="auto" w:fill="auto"/>
            <w:vAlign w:val="center"/>
          </w:tcPr>
          <w:p w:rsidR="005902A6" w:rsidRPr="00786B66" w:rsidRDefault="002A171D" w:rsidP="002A171D">
            <w:pPr>
              <w:adjustRightInd w:val="0"/>
              <w:snapToGrid w:val="0"/>
              <w:spacing w:line="360" w:lineRule="exact"/>
              <w:rPr>
                <w:rFonts w:ascii="仿宋_GB2312" w:eastAsia="仿宋_GB2312" w:hAnsi="宋体"/>
                <w:color w:val="000000"/>
                <w:sz w:val="28"/>
                <w:szCs w:val="32"/>
              </w:rPr>
            </w:pPr>
            <w:bookmarkStart w:id="0" w:name="OLE_LINK1"/>
            <w:r w:rsidRPr="00786B66">
              <w:rPr>
                <w:rFonts w:ascii="仿宋_GB2312" w:eastAsia="仿宋_GB2312" w:hAnsi="宋体" w:hint="eastAsia"/>
                <w:color w:val="000000"/>
                <w:sz w:val="28"/>
                <w:szCs w:val="32"/>
              </w:rPr>
              <w:t>《生态环境损害鉴定技术指南 第5</w:t>
            </w:r>
            <w:r w:rsidR="00527B77" w:rsidRPr="00786B66">
              <w:rPr>
                <w:rFonts w:ascii="仿宋_GB2312" w:eastAsia="仿宋_GB2312" w:hAnsi="宋体" w:hint="eastAsia"/>
                <w:color w:val="000000"/>
                <w:sz w:val="28"/>
                <w:szCs w:val="32"/>
              </w:rPr>
              <w:t>部分：</w:t>
            </w:r>
            <w:r w:rsidRPr="00786B66">
              <w:rPr>
                <w:rFonts w:ascii="仿宋_GB2312" w:eastAsia="仿宋_GB2312" w:hAnsi="宋体" w:hint="eastAsia"/>
                <w:color w:val="000000"/>
                <w:sz w:val="28"/>
                <w:szCs w:val="32"/>
              </w:rPr>
              <w:t>恢复评估</w:t>
            </w:r>
            <w:r w:rsidR="00527B77" w:rsidRPr="00786B66">
              <w:rPr>
                <w:rFonts w:ascii="仿宋_GB2312" w:eastAsia="仿宋_GB2312" w:hAnsi="宋体" w:hint="eastAsia"/>
                <w:color w:val="000000"/>
                <w:sz w:val="28"/>
                <w:szCs w:val="32"/>
              </w:rPr>
              <w:t>》</w:t>
            </w:r>
            <w:bookmarkEnd w:id="0"/>
          </w:p>
        </w:tc>
      </w:tr>
      <w:tr w:rsidR="005902A6" w:rsidRPr="00786B66" w:rsidTr="00334231">
        <w:trPr>
          <w:trHeight w:val="20"/>
          <w:jc w:val="center"/>
        </w:trPr>
        <w:tc>
          <w:tcPr>
            <w:tcW w:w="1215" w:type="pct"/>
            <w:shd w:val="clear" w:color="auto" w:fill="auto"/>
            <w:vAlign w:val="center"/>
          </w:tcPr>
          <w:p w:rsidR="005902A6" w:rsidRPr="00786B66" w:rsidRDefault="00527B77">
            <w:pPr>
              <w:adjustRightInd w:val="0"/>
              <w:snapToGrid w:val="0"/>
              <w:spacing w:line="360" w:lineRule="exact"/>
              <w:jc w:val="distribute"/>
              <w:rPr>
                <w:rFonts w:ascii="仿宋_GB2312" w:eastAsia="仿宋_GB2312"/>
                <w:color w:val="000000"/>
                <w:sz w:val="28"/>
                <w:szCs w:val="32"/>
              </w:rPr>
            </w:pPr>
            <w:r w:rsidRPr="00786B66">
              <w:rPr>
                <w:rFonts w:ascii="仿宋_GB2312" w:eastAsia="仿宋_GB2312" w:hint="eastAsia"/>
                <w:color w:val="000000"/>
                <w:sz w:val="28"/>
                <w:szCs w:val="32"/>
              </w:rPr>
              <w:t>被修订或整合</w:t>
            </w:r>
          </w:p>
          <w:p w:rsidR="005902A6" w:rsidRPr="00786B66" w:rsidRDefault="00527B77">
            <w:pPr>
              <w:adjustRightInd w:val="0"/>
              <w:snapToGrid w:val="0"/>
              <w:spacing w:line="360" w:lineRule="exact"/>
              <w:jc w:val="distribute"/>
              <w:rPr>
                <w:rFonts w:ascii="仿宋_GB2312" w:eastAsia="仿宋_GB2312"/>
                <w:color w:val="000000"/>
                <w:sz w:val="28"/>
                <w:szCs w:val="32"/>
              </w:rPr>
            </w:pPr>
            <w:r w:rsidRPr="00786B66">
              <w:rPr>
                <w:rFonts w:ascii="仿宋_GB2312" w:eastAsia="仿宋_GB2312" w:hint="eastAsia"/>
                <w:color w:val="000000"/>
                <w:sz w:val="28"/>
                <w:szCs w:val="32"/>
              </w:rPr>
              <w:t>标准名称</w:t>
            </w:r>
          </w:p>
        </w:tc>
        <w:tc>
          <w:tcPr>
            <w:tcW w:w="1503" w:type="pct"/>
            <w:shd w:val="clear" w:color="auto" w:fill="auto"/>
            <w:vAlign w:val="center"/>
          </w:tcPr>
          <w:p w:rsidR="005902A6" w:rsidRPr="00786B66" w:rsidRDefault="005902A6">
            <w:pPr>
              <w:adjustRightInd w:val="0"/>
              <w:snapToGrid w:val="0"/>
              <w:spacing w:line="360" w:lineRule="exact"/>
              <w:rPr>
                <w:rFonts w:ascii="仿宋_GB2312" w:eastAsia="仿宋_GB2312" w:hAnsi="宋体"/>
                <w:color w:val="000000"/>
                <w:sz w:val="28"/>
                <w:szCs w:val="32"/>
              </w:rPr>
            </w:pPr>
          </w:p>
        </w:tc>
        <w:tc>
          <w:tcPr>
            <w:tcW w:w="806" w:type="pct"/>
            <w:shd w:val="clear" w:color="auto" w:fill="auto"/>
            <w:vAlign w:val="center"/>
          </w:tcPr>
          <w:p w:rsidR="005902A6" w:rsidRPr="00786B66" w:rsidRDefault="00527B77">
            <w:pPr>
              <w:adjustRightInd w:val="0"/>
              <w:snapToGrid w:val="0"/>
              <w:spacing w:line="360" w:lineRule="exact"/>
              <w:jc w:val="distribute"/>
              <w:rPr>
                <w:rFonts w:ascii="仿宋_GB2312" w:eastAsia="仿宋_GB2312"/>
                <w:color w:val="000000"/>
                <w:sz w:val="28"/>
                <w:szCs w:val="32"/>
              </w:rPr>
            </w:pPr>
            <w:r w:rsidRPr="00786B66">
              <w:rPr>
                <w:rFonts w:ascii="仿宋_GB2312" w:eastAsia="仿宋_GB2312" w:hint="eastAsia"/>
                <w:color w:val="000000"/>
                <w:sz w:val="28"/>
                <w:szCs w:val="32"/>
              </w:rPr>
              <w:t>被代替</w:t>
            </w:r>
          </w:p>
          <w:p w:rsidR="005902A6" w:rsidRPr="00786B66" w:rsidRDefault="00527B77">
            <w:pPr>
              <w:adjustRightInd w:val="0"/>
              <w:snapToGrid w:val="0"/>
              <w:spacing w:line="360" w:lineRule="exact"/>
              <w:rPr>
                <w:rFonts w:ascii="仿宋_GB2312" w:eastAsia="仿宋_GB2312" w:hAnsi="宋体"/>
                <w:color w:val="000000"/>
                <w:sz w:val="28"/>
                <w:szCs w:val="32"/>
              </w:rPr>
            </w:pPr>
            <w:r w:rsidRPr="00786B66">
              <w:rPr>
                <w:rFonts w:ascii="仿宋_GB2312" w:eastAsia="仿宋_GB2312" w:hint="eastAsia"/>
                <w:color w:val="000000"/>
                <w:sz w:val="28"/>
                <w:szCs w:val="32"/>
              </w:rPr>
              <w:t>标准编号</w:t>
            </w:r>
          </w:p>
        </w:tc>
        <w:tc>
          <w:tcPr>
            <w:tcW w:w="1476" w:type="pct"/>
            <w:shd w:val="clear" w:color="auto" w:fill="auto"/>
            <w:vAlign w:val="center"/>
          </w:tcPr>
          <w:p w:rsidR="005902A6" w:rsidRPr="00786B66" w:rsidRDefault="005902A6">
            <w:pPr>
              <w:adjustRightInd w:val="0"/>
              <w:snapToGrid w:val="0"/>
              <w:spacing w:line="360" w:lineRule="exact"/>
              <w:rPr>
                <w:rFonts w:ascii="仿宋_GB2312" w:eastAsia="仿宋_GB2312" w:hAnsi="宋体"/>
                <w:color w:val="000000"/>
                <w:sz w:val="28"/>
                <w:szCs w:val="32"/>
              </w:rPr>
            </w:pPr>
          </w:p>
        </w:tc>
      </w:tr>
      <w:tr w:rsidR="005902A6" w:rsidRPr="00786B66" w:rsidTr="00334231">
        <w:trPr>
          <w:trHeight w:val="2343"/>
          <w:jc w:val="center"/>
        </w:trPr>
        <w:tc>
          <w:tcPr>
            <w:tcW w:w="1215" w:type="pct"/>
            <w:shd w:val="clear" w:color="auto" w:fill="auto"/>
            <w:vAlign w:val="center"/>
          </w:tcPr>
          <w:p w:rsidR="005902A6" w:rsidRPr="00786B66" w:rsidRDefault="00527B77">
            <w:pPr>
              <w:adjustRightInd w:val="0"/>
              <w:snapToGrid w:val="0"/>
              <w:spacing w:line="360" w:lineRule="exact"/>
              <w:jc w:val="distribute"/>
              <w:rPr>
                <w:rFonts w:ascii="仿宋_GB2312" w:eastAsia="仿宋_GB2312"/>
                <w:color w:val="000000"/>
                <w:sz w:val="28"/>
                <w:szCs w:val="32"/>
              </w:rPr>
            </w:pPr>
            <w:r w:rsidRPr="00786B66">
              <w:rPr>
                <w:rFonts w:ascii="仿宋_GB2312" w:eastAsia="仿宋_GB2312" w:hint="eastAsia"/>
                <w:color w:val="000000"/>
                <w:sz w:val="28"/>
                <w:szCs w:val="32"/>
              </w:rPr>
              <w:t>起草单位</w:t>
            </w:r>
          </w:p>
          <w:p w:rsidR="005902A6" w:rsidRPr="00786B66" w:rsidRDefault="00527B77">
            <w:pPr>
              <w:adjustRightInd w:val="0"/>
              <w:snapToGrid w:val="0"/>
              <w:spacing w:line="360" w:lineRule="exact"/>
              <w:jc w:val="distribute"/>
              <w:rPr>
                <w:rFonts w:ascii="仿宋_GB2312" w:eastAsia="仿宋_GB2312"/>
                <w:color w:val="000000"/>
                <w:sz w:val="28"/>
                <w:szCs w:val="32"/>
              </w:rPr>
            </w:pPr>
            <w:r w:rsidRPr="00786B66">
              <w:rPr>
                <w:rFonts w:ascii="仿宋_GB2312" w:eastAsia="仿宋_GB2312" w:hAnsi="宋体" w:hint="eastAsia"/>
                <w:color w:val="000000"/>
                <w:sz w:val="28"/>
                <w:szCs w:val="32"/>
              </w:rPr>
              <w:t>（盖章）</w:t>
            </w:r>
          </w:p>
        </w:tc>
        <w:tc>
          <w:tcPr>
            <w:tcW w:w="3785" w:type="pct"/>
            <w:gridSpan w:val="3"/>
            <w:shd w:val="clear" w:color="auto" w:fill="auto"/>
            <w:vAlign w:val="center"/>
          </w:tcPr>
          <w:p w:rsidR="005902A6" w:rsidRPr="00786B66" w:rsidRDefault="00527B77" w:rsidP="008A4E8E">
            <w:pPr>
              <w:adjustRightInd w:val="0"/>
              <w:snapToGrid w:val="0"/>
              <w:spacing w:line="288" w:lineRule="auto"/>
              <w:jc w:val="center"/>
              <w:rPr>
                <w:rFonts w:ascii="仿宋_GB2312" w:eastAsia="仿宋_GB2312" w:hAnsi="宋体"/>
                <w:color w:val="000000"/>
                <w:sz w:val="28"/>
                <w:szCs w:val="32"/>
              </w:rPr>
            </w:pPr>
            <w:r w:rsidRPr="00786B66">
              <w:rPr>
                <w:rFonts w:ascii="仿宋_GB2312" w:eastAsia="仿宋_GB2312" w:hAnsi="宋体" w:hint="eastAsia"/>
                <w:color w:val="000000"/>
                <w:sz w:val="28"/>
                <w:szCs w:val="32"/>
              </w:rPr>
              <w:t>湖北省生态环境科学研究院生态环境损害司法鉴定中心（污染损害评估与环境健康风险防控湖北省重点实验室）</w:t>
            </w:r>
          </w:p>
          <w:p w:rsidR="005902A6" w:rsidRPr="00786B66" w:rsidRDefault="002A171D" w:rsidP="008A4E8E">
            <w:pPr>
              <w:adjustRightInd w:val="0"/>
              <w:snapToGrid w:val="0"/>
              <w:spacing w:line="360" w:lineRule="exact"/>
              <w:jc w:val="center"/>
              <w:rPr>
                <w:rFonts w:ascii="仿宋_GB2312" w:eastAsia="仿宋_GB2312"/>
                <w:color w:val="000000"/>
                <w:sz w:val="28"/>
                <w:szCs w:val="32"/>
              </w:rPr>
            </w:pPr>
            <w:r w:rsidRPr="00786B66">
              <w:rPr>
                <w:rFonts w:ascii="仿宋_GB2312" w:eastAsia="仿宋_GB2312" w:hAnsi="宋体" w:hint="eastAsia"/>
                <w:color w:val="000000"/>
                <w:sz w:val="28"/>
                <w:szCs w:val="32"/>
              </w:rPr>
              <w:t>华中科技大学环境科学与工程学院</w:t>
            </w:r>
          </w:p>
        </w:tc>
      </w:tr>
      <w:tr w:rsidR="005902A6" w:rsidRPr="00786B66">
        <w:trPr>
          <w:trHeight w:val="90"/>
          <w:jc w:val="center"/>
        </w:trPr>
        <w:tc>
          <w:tcPr>
            <w:tcW w:w="5000" w:type="pct"/>
            <w:gridSpan w:val="4"/>
            <w:shd w:val="clear" w:color="auto" w:fill="auto"/>
          </w:tcPr>
          <w:p w:rsidR="005902A6" w:rsidRPr="00786B66" w:rsidRDefault="00527B77" w:rsidP="00A72DB6">
            <w:pPr>
              <w:adjustRightInd w:val="0"/>
              <w:snapToGrid w:val="0"/>
              <w:spacing w:line="300" w:lineRule="auto"/>
              <w:rPr>
                <w:rFonts w:ascii="仿宋_GB2312" w:eastAsia="仿宋_GB2312" w:hAnsi="宋体"/>
                <w:color w:val="000000"/>
                <w:sz w:val="28"/>
                <w:szCs w:val="32"/>
              </w:rPr>
            </w:pPr>
            <w:r w:rsidRPr="00786B66">
              <w:rPr>
                <w:rFonts w:ascii="仿宋_GB2312" w:eastAsia="仿宋_GB2312" w:hAnsi="宋体" w:hint="eastAsia"/>
                <w:color w:val="000000"/>
                <w:sz w:val="28"/>
                <w:szCs w:val="32"/>
              </w:rPr>
              <w:t>1.项目简介：</w:t>
            </w:r>
          </w:p>
          <w:p w:rsidR="004B7EDC" w:rsidRPr="00786B66" w:rsidRDefault="004B7EDC" w:rsidP="00A72DB6">
            <w:pPr>
              <w:adjustRightInd w:val="0"/>
              <w:snapToGrid w:val="0"/>
              <w:spacing w:line="300" w:lineRule="auto"/>
              <w:ind w:firstLineChars="200" w:firstLine="560"/>
              <w:rPr>
                <w:rFonts w:ascii="仿宋_GB2312" w:eastAsia="仿宋_GB2312" w:hAnsi="宋体"/>
                <w:color w:val="000000"/>
                <w:sz w:val="28"/>
                <w:szCs w:val="32"/>
              </w:rPr>
            </w:pPr>
            <w:bookmarkStart w:id="1" w:name="_Toc464114104"/>
            <w:r w:rsidRPr="00786B66">
              <w:rPr>
                <w:rFonts w:ascii="仿宋_GB2312" w:eastAsia="仿宋_GB2312" w:hAnsi="宋体" w:hint="eastAsia"/>
                <w:color w:val="000000"/>
                <w:sz w:val="28"/>
                <w:szCs w:val="32"/>
              </w:rPr>
              <w:t>生态环境损害赔偿制度是我国生态文明制度体系的重要组成部分，可以直接救济或者修复受到污染或破坏的生态环境，是实现习近平总书记在二十大报告提出的“人与自然和谐共生”的“中国式现代化”的新型环境法律制度。在生态环境损害修复与赔偿过程中,需要以环境损害鉴定评估作为技术支撑保障生态环境损害调查、评估与修复方案制定等事实认定工作的顺利开展,保证鉴定评估活动的科学合理、客观中立。因此，加快实现鉴定评估技术体系标准化对生态环境损害赔偿制度改革落地意义重大。其中，恢复评估是对多种生态环境要素、不同恢复阶段的恢复过程和达标情况进行评估，进而对受损环境和生态服务功能恢复效果进行总体评价。生态环境损害恢复评估作为衡量恢复效果的重要手段，是生态环境损害鉴定评估的关键环节，</w:t>
            </w:r>
            <w:r w:rsidR="004F3E37" w:rsidRPr="00786B66">
              <w:rPr>
                <w:rFonts w:ascii="仿宋_GB2312" w:eastAsia="仿宋_GB2312" w:hAnsi="宋体" w:hint="eastAsia"/>
                <w:color w:val="000000"/>
                <w:sz w:val="28"/>
                <w:szCs w:val="32"/>
              </w:rPr>
              <w:t>应</w:t>
            </w:r>
            <w:r w:rsidRPr="00786B66">
              <w:rPr>
                <w:rFonts w:ascii="仿宋_GB2312" w:eastAsia="仿宋_GB2312" w:hAnsi="宋体" w:hint="eastAsia"/>
                <w:color w:val="000000"/>
                <w:sz w:val="28"/>
                <w:szCs w:val="32"/>
              </w:rPr>
              <w:t>建立标准化技术方法。从生态环境损害制度内涵和配套的鉴定技术体系来看，恢复评估标准制定十分必要。</w:t>
            </w:r>
          </w:p>
          <w:p w:rsidR="004B7EDC" w:rsidRPr="00786B66" w:rsidRDefault="004B7EDC" w:rsidP="00A72DB6">
            <w:p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一是生态环境损害恢复是刚需，必须有第三方评估。2017年，中央出台的《生态环境损害赔偿制度改革方案》明确树立生态环境损害赔偿的价值观念为以受损环境的恢复为核心，故受损生态环境必须进行环境修复和生态服务功能恢复。截至2023年12月，湖北省累计</w:t>
            </w:r>
            <w:r w:rsidRPr="00786B66">
              <w:rPr>
                <w:rFonts w:ascii="仿宋_GB2312" w:eastAsia="仿宋_GB2312" w:hAnsi="宋体" w:hint="eastAsia"/>
                <w:color w:val="000000"/>
                <w:sz w:val="28"/>
                <w:szCs w:val="32"/>
              </w:rPr>
              <w:lastRenderedPageBreak/>
              <w:t>办理环境损害赔偿案件数量超</w:t>
            </w:r>
            <w:r w:rsidR="007A2BE6" w:rsidRPr="00786B66">
              <w:rPr>
                <w:rFonts w:ascii="仿宋_GB2312" w:eastAsia="仿宋_GB2312" w:hAnsi="宋体" w:hint="eastAsia"/>
                <w:color w:val="000000"/>
                <w:sz w:val="28"/>
                <w:szCs w:val="32"/>
              </w:rPr>
              <w:t>1</w:t>
            </w:r>
            <w:r w:rsidRPr="00786B66">
              <w:rPr>
                <w:rFonts w:ascii="仿宋_GB2312" w:eastAsia="仿宋_GB2312" w:hAnsi="宋体" w:hint="eastAsia"/>
                <w:color w:val="000000"/>
                <w:sz w:val="28"/>
                <w:szCs w:val="32"/>
              </w:rPr>
              <w:t>00</w:t>
            </w:r>
            <w:r w:rsidR="007A2BE6" w:rsidRPr="00786B66">
              <w:rPr>
                <w:rFonts w:ascii="仿宋_GB2312" w:eastAsia="仿宋_GB2312" w:hAnsi="宋体" w:hint="eastAsia"/>
                <w:color w:val="000000"/>
                <w:sz w:val="28"/>
                <w:szCs w:val="32"/>
              </w:rPr>
              <w:t>0</w:t>
            </w:r>
            <w:r w:rsidRPr="00786B66">
              <w:rPr>
                <w:rFonts w:ascii="仿宋_GB2312" w:eastAsia="仿宋_GB2312" w:hAnsi="宋体" w:hint="eastAsia"/>
                <w:color w:val="000000"/>
                <w:sz w:val="28"/>
                <w:szCs w:val="32"/>
              </w:rPr>
              <w:t>件，涉案金额超4亿元。其中，包括一大批固废倾倒污染土壤修复、矿山污染修复、磷石膏泄露污染地下水修复和林地破坏修复等案件，均有涉及到生态环境损害恢复和恢复评估工作。随着我省大力推行生态环境执法与环境损害赔偿衔接、联动，全力施行环境救济工作，生态环境损害索赔和生态环境恢复工程实施愈发常态化。而生态环境损害恢复评估作为衡量损害恢复效果的重要手段，为保障生态环境恢复有效落实，恢复评估必须建立标准化程序、内容和技术方法。</w:t>
            </w:r>
          </w:p>
          <w:p w:rsidR="004B7EDC" w:rsidRPr="00786B66" w:rsidRDefault="004B7EDC" w:rsidP="00A72DB6">
            <w:p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二是恢复评估是贯彻落实生态环境损害赔偿制度的内在要求。2017年12月，中办、国办印发的《生态环境损害赔偿制度改革方案》规定：“赔偿权利人及其指定的部门或机构对磋商或诉讼后的生态环境修复效果进行评估，确保生态环境得到及时有效修复”“生态环境修复效果要向社会公开，接受公众监督”。2020年8月，生态环境部等11部门印发的《关于推进生态环境损害赔偿制度改革若干具体问题的意见》提出：“赔偿权利人及其指定的部门或机构在收到赔偿义务人、第三方机构关于生态环境损害修复完成的通报后，组织对受损生态环境修复的效果进行评估，确保生态环境得到及时有效修复”。2022年4月，生态环境部、最高人民法院、最高人民检察院等14单位印发的《生态环境损害赔偿管理规定》提出：“赔偿权利人及其指定的部门或机构，应当组织对受损生态环境修复的效果进行评估，确保生态环境得到及时有效修复”。制定出台生态环境恢复评估标准是贯彻落实生态环境损害赔偿制度的重要举措，是确保受损生态环境得到科学规范、及时有效恢复的重要技术支撑，对在全国范围内建立起责任明确、途径畅通、技术规范、保障有力、赔偿到位、“修复有效”的生态环境损害赔偿制度具有重要的意义。</w:t>
            </w:r>
          </w:p>
          <w:p w:rsidR="004B7EDC" w:rsidRPr="00786B66" w:rsidRDefault="004B7EDC" w:rsidP="00A72DB6">
            <w:p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三是恢复评估是生态环境损害鉴定评估工作的重要组成。2020年12月，生态环境部印发《生态环境损害鉴定评估技术指南 总纲与关键环节 第 1 部分：总纲》</w:t>
            </w:r>
            <w:r w:rsidR="00A72DB6" w:rsidRPr="00786B66">
              <w:rPr>
                <w:rFonts w:ascii="仿宋_GB2312" w:eastAsia="仿宋_GB2312" w:hAnsi="宋体" w:hint="eastAsia"/>
                <w:color w:val="000000"/>
                <w:sz w:val="28"/>
                <w:szCs w:val="32"/>
              </w:rPr>
              <w:t>《生态环境损害鉴定评估技术指南 总纲和关键环节 第2部分：损害调查》</w:t>
            </w:r>
            <w:r w:rsidRPr="00786B66">
              <w:rPr>
                <w:rFonts w:ascii="仿宋_GB2312" w:eastAsia="仿宋_GB2312" w:hAnsi="宋体" w:hint="eastAsia"/>
                <w:color w:val="000000"/>
                <w:sz w:val="28"/>
                <w:szCs w:val="32"/>
              </w:rPr>
              <w:t>等6项国家标准。总纲和关键环节技术指南规定生态环境损害鉴定评估的程序包括工作方案制定、</w:t>
            </w:r>
            <w:r w:rsidRPr="00786B66">
              <w:rPr>
                <w:rFonts w:ascii="仿宋_GB2312" w:eastAsia="仿宋_GB2312" w:hAnsi="宋体" w:hint="eastAsia"/>
                <w:color w:val="000000"/>
                <w:sz w:val="28"/>
                <w:szCs w:val="32"/>
              </w:rPr>
              <w:lastRenderedPageBreak/>
              <w:t>损害调查确认、因果关系分析、损害实物量化、损害价值量化、评估报告编制和恢复效果评估。可见，恢复评估是生态环境损害鉴定评估的关键环节，恢复评估标准是总纲和关键环节类生态环境损害鉴定评估标准的重要组成部分。</w:t>
            </w:r>
          </w:p>
          <w:p w:rsidR="005902A6" w:rsidRPr="00786B66" w:rsidRDefault="001575B4" w:rsidP="00A72DB6">
            <w:p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目前生态环境损害恢复评估工作仍存在评估</w:t>
            </w:r>
            <w:r w:rsidR="001520A4" w:rsidRPr="00786B66">
              <w:rPr>
                <w:rFonts w:ascii="仿宋_GB2312" w:eastAsia="仿宋_GB2312" w:hAnsi="宋体" w:hint="eastAsia"/>
                <w:color w:val="000000"/>
                <w:sz w:val="28"/>
                <w:szCs w:val="32"/>
              </w:rPr>
              <w:t>技术</w:t>
            </w:r>
            <w:r w:rsidRPr="00786B66">
              <w:rPr>
                <w:rFonts w:ascii="仿宋_GB2312" w:eastAsia="仿宋_GB2312" w:hAnsi="宋体" w:hint="eastAsia"/>
                <w:color w:val="000000"/>
                <w:sz w:val="28"/>
                <w:szCs w:val="32"/>
              </w:rPr>
              <w:t>方法</w:t>
            </w:r>
            <w:r w:rsidR="001520A4" w:rsidRPr="00786B66">
              <w:rPr>
                <w:rFonts w:ascii="仿宋_GB2312" w:eastAsia="仿宋_GB2312" w:hAnsi="宋体" w:hint="eastAsia"/>
                <w:color w:val="000000"/>
                <w:sz w:val="28"/>
                <w:szCs w:val="32"/>
              </w:rPr>
              <w:t>体系不完善</w:t>
            </w:r>
            <w:r w:rsidRPr="00786B66">
              <w:rPr>
                <w:rFonts w:ascii="仿宋_GB2312" w:eastAsia="仿宋_GB2312" w:hAnsi="宋体" w:hint="eastAsia"/>
                <w:color w:val="000000"/>
                <w:sz w:val="28"/>
                <w:szCs w:val="32"/>
              </w:rPr>
              <w:t>，评估</w:t>
            </w:r>
            <w:r w:rsidR="00766310" w:rsidRPr="00786B66">
              <w:rPr>
                <w:rFonts w:ascii="仿宋_GB2312" w:eastAsia="仿宋_GB2312" w:hAnsi="宋体" w:hint="eastAsia"/>
                <w:color w:val="000000"/>
                <w:sz w:val="28"/>
                <w:szCs w:val="32"/>
              </w:rPr>
              <w:t>过程</w:t>
            </w:r>
            <w:r w:rsidRPr="00786B66">
              <w:rPr>
                <w:rFonts w:ascii="仿宋_GB2312" w:eastAsia="仿宋_GB2312" w:hAnsi="宋体" w:hint="eastAsia"/>
                <w:color w:val="000000"/>
                <w:sz w:val="28"/>
                <w:szCs w:val="32"/>
              </w:rPr>
              <w:t>全面性、合理性</w:t>
            </w:r>
            <w:r w:rsidR="00CD7168" w:rsidRPr="00786B66">
              <w:rPr>
                <w:rFonts w:ascii="仿宋_GB2312" w:eastAsia="仿宋_GB2312" w:hAnsi="宋体" w:hint="eastAsia"/>
                <w:color w:val="000000"/>
                <w:sz w:val="28"/>
                <w:szCs w:val="32"/>
              </w:rPr>
              <w:t>及程序规范性</w:t>
            </w:r>
            <w:r w:rsidRPr="00786B66">
              <w:rPr>
                <w:rFonts w:ascii="仿宋_GB2312" w:eastAsia="仿宋_GB2312" w:hAnsi="宋体" w:hint="eastAsia"/>
                <w:color w:val="000000"/>
                <w:sz w:val="28"/>
                <w:szCs w:val="32"/>
              </w:rPr>
              <w:t>不足问题</w:t>
            </w:r>
            <w:r w:rsidR="001520A4" w:rsidRPr="00786B66">
              <w:rPr>
                <w:rFonts w:ascii="仿宋_GB2312" w:eastAsia="仿宋_GB2312" w:hAnsi="宋体" w:hint="eastAsia"/>
                <w:color w:val="000000"/>
                <w:sz w:val="28"/>
                <w:szCs w:val="32"/>
              </w:rPr>
              <w:t>，</w:t>
            </w:r>
            <w:r w:rsidRPr="00786B66">
              <w:rPr>
                <w:rFonts w:ascii="仿宋_GB2312" w:eastAsia="仿宋_GB2312" w:hAnsi="宋体" w:hint="eastAsia"/>
                <w:color w:val="000000"/>
                <w:sz w:val="28"/>
                <w:szCs w:val="32"/>
              </w:rPr>
              <w:t>为了针对恢复评估工作建立规范化、本土化</w:t>
            </w:r>
            <w:r w:rsidR="001520A4" w:rsidRPr="00786B66">
              <w:rPr>
                <w:rFonts w:ascii="仿宋_GB2312" w:eastAsia="仿宋_GB2312" w:hAnsi="宋体" w:hint="eastAsia"/>
                <w:color w:val="000000"/>
                <w:sz w:val="28"/>
                <w:szCs w:val="32"/>
              </w:rPr>
              <w:t>技术方法</w:t>
            </w:r>
            <w:r w:rsidRPr="00786B66">
              <w:rPr>
                <w:rFonts w:ascii="仿宋_GB2312" w:eastAsia="仿宋_GB2312" w:hAnsi="宋体" w:hint="eastAsia"/>
                <w:color w:val="000000"/>
                <w:sz w:val="28"/>
                <w:szCs w:val="32"/>
              </w:rPr>
              <w:t>、</w:t>
            </w:r>
            <w:r w:rsidR="00C83677" w:rsidRPr="00786B66">
              <w:rPr>
                <w:rFonts w:ascii="仿宋_GB2312" w:eastAsia="仿宋_GB2312" w:hAnsi="宋体" w:hint="eastAsia"/>
                <w:color w:val="000000"/>
                <w:sz w:val="28"/>
                <w:szCs w:val="32"/>
              </w:rPr>
              <w:t>合理</w:t>
            </w:r>
            <w:r w:rsidRPr="00786B66">
              <w:rPr>
                <w:rFonts w:ascii="仿宋_GB2312" w:eastAsia="仿宋_GB2312" w:hAnsi="宋体" w:hint="eastAsia"/>
                <w:color w:val="000000"/>
                <w:sz w:val="28"/>
                <w:szCs w:val="32"/>
              </w:rPr>
              <w:t>程序规则规定</w:t>
            </w:r>
            <w:r w:rsidR="001520A4" w:rsidRPr="00786B66">
              <w:rPr>
                <w:rFonts w:ascii="仿宋_GB2312" w:eastAsia="仿宋_GB2312" w:hAnsi="宋体" w:hint="eastAsia"/>
                <w:color w:val="000000"/>
                <w:sz w:val="28"/>
                <w:szCs w:val="32"/>
              </w:rPr>
              <w:t>，湖北省需要结合地域实际和前期工作经验，以各环境要素和生态功能的恢复评估现有技术方法为基础，对恢复评估各环节各方面进行方法总结，并结合生态环境损害恢复评估管理与程序要求，提出适合湖北省的生态环境损害恢复评估标准化方法以及生态环境损害恢复评估程序，指导全省生态环境损害恢复评估工作。</w:t>
            </w:r>
            <w:bookmarkEnd w:id="1"/>
          </w:p>
        </w:tc>
      </w:tr>
      <w:tr w:rsidR="005902A6" w:rsidRPr="00786B66">
        <w:trPr>
          <w:trHeight w:val="20"/>
          <w:jc w:val="center"/>
        </w:trPr>
        <w:tc>
          <w:tcPr>
            <w:tcW w:w="5000" w:type="pct"/>
            <w:gridSpan w:val="4"/>
            <w:shd w:val="clear" w:color="auto" w:fill="auto"/>
          </w:tcPr>
          <w:p w:rsidR="009B73AB" w:rsidRPr="00786B66" w:rsidRDefault="009B73AB" w:rsidP="00A72DB6">
            <w:pPr>
              <w:numPr>
                <w:ilvl w:val="255"/>
                <w:numId w:val="0"/>
              </w:numPr>
              <w:adjustRightInd w:val="0"/>
              <w:snapToGrid w:val="0"/>
              <w:spacing w:line="300" w:lineRule="auto"/>
              <w:rPr>
                <w:rFonts w:ascii="仿宋_GB2312" w:eastAsia="仿宋_GB2312" w:hAnsi="宋体"/>
                <w:color w:val="000000"/>
                <w:sz w:val="28"/>
                <w:szCs w:val="32"/>
              </w:rPr>
            </w:pPr>
            <w:r w:rsidRPr="00786B66">
              <w:rPr>
                <w:rFonts w:ascii="仿宋_GB2312" w:eastAsia="仿宋_GB2312" w:hAnsi="宋体" w:hint="eastAsia"/>
                <w:color w:val="000000"/>
                <w:sz w:val="28"/>
                <w:szCs w:val="32"/>
              </w:rPr>
              <w:lastRenderedPageBreak/>
              <w:t>2.技术路线：</w:t>
            </w:r>
          </w:p>
          <w:p w:rsidR="009B73AB" w:rsidRPr="00786B66" w:rsidRDefault="009B73AB" w:rsidP="00A72DB6">
            <w:pPr>
              <w:numPr>
                <w:ilvl w:val="255"/>
                <w:numId w:val="0"/>
              </w:num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本项目拟结合湖北省实际情况，针对案例实践揭示的过程监测不足等带来反复评估的问题设计生态环境损害恢复评估程序，充分考虑环境要素与生态要素的特点和差异性，分类进行评估指标和监测要求的差异化规定，并充分借鉴现有技术方法构建生态环境恢复评估方法体系。</w:t>
            </w:r>
            <w:r w:rsidR="006749DC" w:rsidRPr="00786B66">
              <w:rPr>
                <w:rFonts w:ascii="仿宋_GB2312" w:eastAsia="仿宋_GB2312" w:hAnsi="宋体" w:hint="eastAsia"/>
                <w:color w:val="000000"/>
                <w:sz w:val="28"/>
                <w:szCs w:val="32"/>
              </w:rPr>
              <w:t>本项目研究</w:t>
            </w:r>
            <w:r w:rsidRPr="00786B66">
              <w:rPr>
                <w:rFonts w:ascii="仿宋_GB2312" w:eastAsia="仿宋_GB2312" w:hAnsi="宋体" w:hint="eastAsia"/>
                <w:color w:val="000000"/>
                <w:sz w:val="28"/>
                <w:szCs w:val="32"/>
              </w:rPr>
              <w:t>技术路线如下：</w:t>
            </w:r>
          </w:p>
          <w:p w:rsidR="009B73AB" w:rsidRPr="00786B66" w:rsidRDefault="009B73AB" w:rsidP="00A72DB6">
            <w:pPr>
              <w:numPr>
                <w:ilvl w:val="255"/>
                <w:numId w:val="0"/>
              </w:num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（1）剖析现有涉及土壤与地下水、地表水与沉积物等环境要素以及生态服务功能的环境修复、生态恢复评估相关标准规范，总结环境修复和生态恢复过程监测和评估相关技术方法；</w:t>
            </w:r>
          </w:p>
          <w:p w:rsidR="009B73AB" w:rsidRPr="00786B66" w:rsidRDefault="009B73AB" w:rsidP="00A72DB6">
            <w:pPr>
              <w:numPr>
                <w:ilvl w:val="255"/>
                <w:numId w:val="0"/>
              </w:num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（2）针对湖北省内外典型案例的恢复评估方法开展分析与研究，结合湖北省鉴定实践中发现的问题，从生态环境损害恢复工程实施前、中、后</w:t>
            </w:r>
            <w:r w:rsidR="003F12A6" w:rsidRPr="00786B66">
              <w:rPr>
                <w:rFonts w:ascii="仿宋_GB2312" w:eastAsia="仿宋_GB2312" w:hAnsi="宋体" w:hint="eastAsia"/>
                <w:color w:val="000000"/>
                <w:sz w:val="28"/>
                <w:szCs w:val="32"/>
              </w:rPr>
              <w:t>三</w:t>
            </w:r>
            <w:r w:rsidRPr="00786B66">
              <w:rPr>
                <w:rFonts w:ascii="仿宋_GB2312" w:eastAsia="仿宋_GB2312" w:hAnsi="宋体" w:hint="eastAsia"/>
                <w:color w:val="000000"/>
                <w:sz w:val="28"/>
                <w:szCs w:val="32"/>
              </w:rPr>
              <w:t>阶段的</w:t>
            </w:r>
            <w:r w:rsidR="003F12A6" w:rsidRPr="00786B66">
              <w:rPr>
                <w:rFonts w:ascii="仿宋_GB2312" w:eastAsia="仿宋_GB2312" w:hAnsi="宋体" w:hint="eastAsia"/>
                <w:color w:val="000000"/>
                <w:sz w:val="28"/>
                <w:szCs w:val="32"/>
              </w:rPr>
              <w:t>恢复</w:t>
            </w:r>
            <w:r w:rsidRPr="00786B66">
              <w:rPr>
                <w:rFonts w:ascii="仿宋_GB2312" w:eastAsia="仿宋_GB2312" w:hAnsi="宋体" w:hint="eastAsia"/>
                <w:color w:val="000000"/>
                <w:sz w:val="28"/>
                <w:szCs w:val="32"/>
              </w:rPr>
              <w:t>前评估、恢复过程监测、恢复效果监测、恢复效果评估以及二次污染或破坏等方面，判别各类环境要素、生态系统恢复评估案件中不同方法适用性与科学性，从而补充、研究制定适合我省的恢复评估技术方法；</w:t>
            </w:r>
          </w:p>
          <w:p w:rsidR="009B73AB" w:rsidRPr="00786B66" w:rsidRDefault="009B73AB" w:rsidP="00A72DB6">
            <w:pPr>
              <w:numPr>
                <w:ilvl w:val="255"/>
                <w:numId w:val="0"/>
              </w:num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（3）根据国家</w:t>
            </w:r>
            <w:r w:rsidR="00807C88" w:rsidRPr="00786B66">
              <w:rPr>
                <w:rFonts w:ascii="仿宋_GB2312" w:eastAsia="仿宋_GB2312" w:hAnsi="宋体" w:hint="eastAsia"/>
                <w:color w:val="000000"/>
                <w:sz w:val="28"/>
                <w:szCs w:val="32"/>
              </w:rPr>
              <w:t>和</w:t>
            </w:r>
            <w:r w:rsidRPr="00786B66">
              <w:rPr>
                <w:rFonts w:ascii="仿宋_GB2312" w:eastAsia="仿宋_GB2312" w:hAnsi="宋体" w:hint="eastAsia"/>
                <w:color w:val="000000"/>
                <w:sz w:val="28"/>
                <w:szCs w:val="32"/>
              </w:rPr>
              <w:t>湖北省</w:t>
            </w:r>
            <w:r w:rsidR="00807C88" w:rsidRPr="00786B66">
              <w:rPr>
                <w:rFonts w:ascii="仿宋_GB2312" w:eastAsia="仿宋_GB2312" w:hAnsi="宋体" w:hint="eastAsia"/>
                <w:color w:val="000000"/>
                <w:sz w:val="28"/>
                <w:szCs w:val="32"/>
              </w:rPr>
              <w:t>的</w:t>
            </w:r>
            <w:r w:rsidRPr="00786B66">
              <w:rPr>
                <w:rFonts w:ascii="仿宋_GB2312" w:eastAsia="仿宋_GB2312" w:hAnsi="宋体" w:hint="eastAsia"/>
                <w:color w:val="000000"/>
                <w:sz w:val="28"/>
                <w:szCs w:val="32"/>
              </w:rPr>
              <w:t>生态环境损害修复评估管理相关</w:t>
            </w:r>
            <w:r w:rsidR="002926B9" w:rsidRPr="00786B66">
              <w:rPr>
                <w:rFonts w:ascii="仿宋_GB2312" w:eastAsia="仿宋_GB2312" w:hAnsi="宋体" w:hint="eastAsia"/>
                <w:color w:val="000000"/>
                <w:sz w:val="28"/>
                <w:szCs w:val="32"/>
              </w:rPr>
              <w:t>政策</w:t>
            </w:r>
            <w:r w:rsidRPr="00786B66">
              <w:rPr>
                <w:rFonts w:ascii="仿宋_GB2312" w:eastAsia="仿宋_GB2312" w:hAnsi="宋体" w:hint="eastAsia"/>
                <w:color w:val="000000"/>
                <w:sz w:val="28"/>
                <w:szCs w:val="32"/>
              </w:rPr>
              <w:t>办法，</w:t>
            </w:r>
            <w:r w:rsidR="00807C88" w:rsidRPr="00786B66">
              <w:rPr>
                <w:rFonts w:ascii="仿宋_GB2312" w:eastAsia="仿宋_GB2312" w:hAnsi="宋体" w:hint="eastAsia"/>
                <w:color w:val="000000"/>
                <w:sz w:val="28"/>
                <w:szCs w:val="32"/>
              </w:rPr>
              <w:t>并</w:t>
            </w:r>
            <w:r w:rsidRPr="00786B66">
              <w:rPr>
                <w:rFonts w:ascii="仿宋_GB2312" w:eastAsia="仿宋_GB2312" w:hAnsi="宋体" w:hint="eastAsia"/>
                <w:color w:val="000000"/>
                <w:sz w:val="28"/>
                <w:szCs w:val="32"/>
              </w:rPr>
              <w:t>结合《司法鉴定程序通则》</w:t>
            </w:r>
            <w:r w:rsidR="002926B9" w:rsidRPr="00786B66">
              <w:rPr>
                <w:rFonts w:ascii="仿宋_GB2312" w:eastAsia="仿宋_GB2312" w:hAnsi="宋体" w:hint="eastAsia"/>
                <w:color w:val="000000"/>
                <w:sz w:val="28"/>
                <w:szCs w:val="32"/>
              </w:rPr>
              <w:t>和湖北省生态环境损害鉴定通用规范</w:t>
            </w:r>
            <w:r w:rsidRPr="00786B66">
              <w:rPr>
                <w:rFonts w:ascii="仿宋_GB2312" w:eastAsia="仿宋_GB2312" w:hAnsi="宋体" w:hint="eastAsia"/>
                <w:color w:val="000000"/>
                <w:sz w:val="28"/>
                <w:szCs w:val="32"/>
              </w:rPr>
              <w:t>中鉴定程序原则性要求，研究制定鉴定评估机构在开展恢复评估</w:t>
            </w:r>
            <w:r w:rsidRPr="00786B66">
              <w:rPr>
                <w:rFonts w:ascii="仿宋_GB2312" w:eastAsia="仿宋_GB2312" w:hAnsi="宋体" w:hint="eastAsia"/>
                <w:color w:val="000000"/>
                <w:sz w:val="28"/>
                <w:szCs w:val="32"/>
              </w:rPr>
              <w:lastRenderedPageBreak/>
              <w:t>工作的科学合理的程序规范；</w:t>
            </w:r>
          </w:p>
          <w:p w:rsidR="00334231" w:rsidRPr="00786B66" w:rsidRDefault="009B73AB" w:rsidP="00A72DB6">
            <w:pPr>
              <w:numPr>
                <w:ilvl w:val="255"/>
                <w:numId w:val="0"/>
              </w:num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（4）基于上述研究成果，综合技术方法要点和程序管理要求，按照《标准化工作导则 第1部分：标准化文件的结构和起草规则》（GB/T1.1-2020）要求统筹编制恢复评估。</w:t>
            </w:r>
          </w:p>
          <w:p w:rsidR="005B17E7" w:rsidRPr="00786B66" w:rsidRDefault="005B17E7" w:rsidP="00A72DB6">
            <w:pPr>
              <w:numPr>
                <w:ilvl w:val="255"/>
                <w:numId w:val="0"/>
              </w:numPr>
              <w:adjustRightInd w:val="0"/>
              <w:snapToGrid w:val="0"/>
              <w:spacing w:line="300" w:lineRule="auto"/>
              <w:ind w:firstLineChars="200" w:firstLine="560"/>
              <w:rPr>
                <w:rFonts w:ascii="仿宋_GB2312" w:eastAsia="仿宋_GB2312" w:hAnsi="宋体"/>
                <w:color w:val="000000"/>
                <w:sz w:val="28"/>
                <w:szCs w:val="32"/>
              </w:rPr>
            </w:pPr>
          </w:p>
          <w:p w:rsidR="005902A6" w:rsidRPr="00786B66" w:rsidRDefault="009B73AB" w:rsidP="00A72DB6">
            <w:pPr>
              <w:adjustRightInd w:val="0"/>
              <w:snapToGrid w:val="0"/>
              <w:spacing w:line="300" w:lineRule="auto"/>
              <w:jc w:val="center"/>
              <w:rPr>
                <w:rFonts w:ascii="仿宋_GB2312" w:eastAsia="仿宋_GB2312" w:hAnsi="宋体"/>
                <w:color w:val="000000"/>
                <w:sz w:val="28"/>
                <w:szCs w:val="32"/>
              </w:rPr>
            </w:pPr>
            <w:r w:rsidRPr="00786B66">
              <w:rPr>
                <w:rFonts w:ascii="仿宋_GB2312" w:eastAsia="仿宋_GB2312" w:hAnsi="宋体" w:hint="eastAsia"/>
                <w:noProof/>
                <w:color w:val="000000"/>
                <w:sz w:val="28"/>
                <w:szCs w:val="32"/>
              </w:rPr>
              <w:drawing>
                <wp:inline distT="0" distB="0" distL="0" distR="0" wp14:anchorId="1CA18BB7" wp14:editId="7C79BB20">
                  <wp:extent cx="5150614" cy="58578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8419" cy="5889498"/>
                          </a:xfrm>
                          <a:prstGeom prst="rect">
                            <a:avLst/>
                          </a:prstGeom>
                          <a:noFill/>
                        </pic:spPr>
                      </pic:pic>
                    </a:graphicData>
                  </a:graphic>
                </wp:inline>
              </w:drawing>
            </w:r>
          </w:p>
          <w:p w:rsidR="002B2492" w:rsidRPr="00786B66" w:rsidRDefault="009B73AB" w:rsidP="005B17E7">
            <w:pPr>
              <w:adjustRightInd w:val="0"/>
              <w:snapToGrid w:val="0"/>
              <w:spacing w:line="300" w:lineRule="auto"/>
              <w:jc w:val="center"/>
              <w:rPr>
                <w:rFonts w:ascii="仿宋_GB2312" w:eastAsia="仿宋_GB2312" w:hAnsi="宋体"/>
                <w:color w:val="000000"/>
                <w:sz w:val="28"/>
                <w:szCs w:val="32"/>
              </w:rPr>
            </w:pPr>
            <w:r w:rsidRPr="00786B66">
              <w:rPr>
                <w:rFonts w:ascii="仿宋_GB2312" w:eastAsia="仿宋_GB2312" w:hAnsi="宋体" w:hint="eastAsia"/>
                <w:color w:val="000000"/>
                <w:sz w:val="28"/>
                <w:szCs w:val="32"/>
              </w:rPr>
              <w:t>图1技术路线</w:t>
            </w:r>
          </w:p>
        </w:tc>
      </w:tr>
      <w:tr w:rsidR="009B73AB" w:rsidRPr="00786B66">
        <w:trPr>
          <w:trHeight w:val="20"/>
          <w:jc w:val="center"/>
        </w:trPr>
        <w:tc>
          <w:tcPr>
            <w:tcW w:w="5000" w:type="pct"/>
            <w:gridSpan w:val="4"/>
            <w:shd w:val="clear" w:color="auto" w:fill="auto"/>
          </w:tcPr>
          <w:p w:rsidR="009B73AB" w:rsidRPr="00786B66" w:rsidRDefault="009B73AB" w:rsidP="00A72DB6">
            <w:pPr>
              <w:numPr>
                <w:ilvl w:val="255"/>
                <w:numId w:val="0"/>
              </w:numPr>
              <w:adjustRightInd w:val="0"/>
              <w:snapToGrid w:val="0"/>
              <w:spacing w:line="360" w:lineRule="auto"/>
              <w:rPr>
                <w:rFonts w:ascii="仿宋_GB2312" w:eastAsia="仿宋_GB2312" w:hAnsi="宋体"/>
                <w:color w:val="000000"/>
                <w:sz w:val="28"/>
                <w:szCs w:val="32"/>
              </w:rPr>
            </w:pPr>
            <w:r w:rsidRPr="00786B66">
              <w:rPr>
                <w:rFonts w:ascii="仿宋_GB2312" w:eastAsia="仿宋_GB2312" w:hAnsi="宋体" w:hint="eastAsia"/>
                <w:color w:val="000000"/>
                <w:sz w:val="28"/>
                <w:szCs w:val="32"/>
              </w:rPr>
              <w:lastRenderedPageBreak/>
              <w:t>3.标准比对：</w:t>
            </w:r>
          </w:p>
          <w:p w:rsidR="00133E12" w:rsidRPr="00786B66" w:rsidRDefault="009B73AB" w:rsidP="00CE7E45">
            <w:pPr>
              <w:adjustRightInd w:val="0"/>
              <w:snapToGrid w:val="0"/>
              <w:spacing w:line="36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2020年12月29日，生态环境部和国家市场监督管理总局联合发布了《生态环境损害鉴定评估技术指南 总纲和关键环节 第1部</w:t>
            </w:r>
            <w:r w:rsidRPr="00786B66">
              <w:rPr>
                <w:rFonts w:ascii="仿宋_GB2312" w:eastAsia="仿宋_GB2312" w:hAnsi="宋体" w:hint="eastAsia"/>
                <w:color w:val="000000"/>
                <w:sz w:val="28"/>
                <w:szCs w:val="32"/>
              </w:rPr>
              <w:lastRenderedPageBreak/>
              <w:t>分：总纲》（GB/T 39791.1-2020)等六项生态环境损害鉴定评估技术标准，初步构建我国生态环境损害鉴定评估技术标准体系框架，明确生态环境损害鉴定评估的一般性原则、程序、内容、方法，并针对</w:t>
            </w:r>
            <w:r w:rsidR="00EF3258" w:rsidRPr="00786B66">
              <w:rPr>
                <w:rFonts w:ascii="仿宋_GB2312" w:eastAsia="仿宋_GB2312" w:hAnsi="宋体" w:hint="eastAsia"/>
                <w:color w:val="000000"/>
                <w:sz w:val="28"/>
                <w:szCs w:val="32"/>
              </w:rPr>
              <w:t>总纲、</w:t>
            </w:r>
            <w:r w:rsidRPr="00786B66">
              <w:rPr>
                <w:rFonts w:ascii="仿宋_GB2312" w:eastAsia="仿宋_GB2312" w:hAnsi="宋体" w:hint="eastAsia"/>
                <w:color w:val="000000"/>
                <w:sz w:val="28"/>
                <w:szCs w:val="32"/>
              </w:rPr>
              <w:t>损害调查等重点环节和土壤、地下水、地表水、沉积物、大气等环境要素的特点，分别提出了规范性技术要求。</w:t>
            </w:r>
            <w:r w:rsidR="001E5B39" w:rsidRPr="00786B66">
              <w:rPr>
                <w:rFonts w:ascii="仿宋_GB2312" w:eastAsia="仿宋_GB2312" w:hAnsi="宋体" w:hint="eastAsia"/>
                <w:color w:val="000000"/>
                <w:sz w:val="28"/>
                <w:szCs w:val="32"/>
              </w:rPr>
              <w:t>上述GB/T 39791.1、GB/T 39791.2、GB/T 39792.1和GB/T 39792.</w:t>
            </w:r>
            <w:r w:rsidR="00A20546" w:rsidRPr="00786B66">
              <w:rPr>
                <w:rFonts w:ascii="仿宋_GB2312" w:eastAsia="仿宋_GB2312" w:hAnsi="宋体" w:hint="eastAsia"/>
                <w:color w:val="000000"/>
                <w:sz w:val="28"/>
                <w:szCs w:val="32"/>
              </w:rPr>
              <w:t>2</w:t>
            </w:r>
            <w:r w:rsidR="001E5B39" w:rsidRPr="00786B66">
              <w:rPr>
                <w:rFonts w:ascii="仿宋_GB2312" w:eastAsia="仿宋_GB2312" w:hAnsi="宋体" w:hint="eastAsia"/>
                <w:color w:val="000000"/>
                <w:sz w:val="28"/>
                <w:szCs w:val="32"/>
              </w:rPr>
              <w:t>等标准中相关章节</w:t>
            </w:r>
            <w:r w:rsidR="003C21A5" w:rsidRPr="00786B66">
              <w:rPr>
                <w:rFonts w:ascii="仿宋_GB2312" w:eastAsia="仿宋_GB2312" w:hAnsi="宋体" w:hint="eastAsia"/>
                <w:color w:val="000000"/>
                <w:sz w:val="28"/>
                <w:szCs w:val="32"/>
              </w:rPr>
              <w:t>简要</w:t>
            </w:r>
            <w:r w:rsidR="001E5B39" w:rsidRPr="00786B66">
              <w:rPr>
                <w:rFonts w:ascii="仿宋_GB2312" w:eastAsia="仿宋_GB2312" w:hAnsi="宋体" w:hint="eastAsia"/>
                <w:color w:val="000000"/>
                <w:sz w:val="28"/>
                <w:szCs w:val="32"/>
              </w:rPr>
              <w:t>概述了损害恢复</w:t>
            </w:r>
            <w:r w:rsidR="003C21A5" w:rsidRPr="00786B66">
              <w:rPr>
                <w:rFonts w:ascii="仿宋_GB2312" w:eastAsia="仿宋_GB2312" w:hAnsi="宋体" w:hint="eastAsia"/>
                <w:color w:val="000000"/>
                <w:sz w:val="28"/>
                <w:szCs w:val="32"/>
              </w:rPr>
              <w:t>效果</w:t>
            </w:r>
            <w:r w:rsidR="001E5B39" w:rsidRPr="00786B66">
              <w:rPr>
                <w:rFonts w:ascii="仿宋_GB2312" w:eastAsia="仿宋_GB2312" w:hAnsi="宋体" w:hint="eastAsia"/>
                <w:color w:val="000000"/>
                <w:sz w:val="28"/>
                <w:szCs w:val="32"/>
              </w:rPr>
              <w:t>评估的主要内容和方法，为恢复评估标准制定提供了思路。</w:t>
            </w:r>
            <w:r w:rsidR="00637673" w:rsidRPr="00786B66">
              <w:rPr>
                <w:rFonts w:ascii="仿宋_GB2312" w:eastAsia="仿宋_GB2312" w:hAnsi="宋体" w:hint="eastAsia"/>
                <w:color w:val="000000"/>
                <w:sz w:val="28"/>
                <w:szCs w:val="32"/>
              </w:rPr>
              <w:t>我省发布的《湖北省生态环境损害鉴定通用规范》（GB42/T 1905-2022）</w:t>
            </w:r>
            <w:r w:rsidR="001E5B39" w:rsidRPr="00786B66">
              <w:rPr>
                <w:rFonts w:ascii="仿宋_GB2312" w:eastAsia="仿宋_GB2312" w:hAnsi="宋体" w:hint="eastAsia"/>
                <w:color w:val="000000"/>
                <w:sz w:val="28"/>
                <w:szCs w:val="32"/>
              </w:rPr>
              <w:t>《生态环境损害鉴定技术指南 第1部分 监测规范》（</w:t>
            </w:r>
            <w:r w:rsidR="000C6D8C" w:rsidRPr="00786B66">
              <w:rPr>
                <w:rFonts w:ascii="仿宋_GB2312" w:eastAsia="仿宋_GB2312" w:hAnsi="宋体" w:hint="eastAsia"/>
                <w:color w:val="000000"/>
                <w:sz w:val="28"/>
                <w:szCs w:val="32"/>
              </w:rPr>
              <w:t>DB42</w:t>
            </w:r>
            <w:r w:rsidR="00830C5C" w:rsidRPr="00786B66">
              <w:rPr>
                <w:rFonts w:ascii="仿宋_GB2312" w:eastAsia="仿宋_GB2312" w:hAnsi="宋体" w:hint="eastAsia"/>
                <w:color w:val="000000"/>
                <w:sz w:val="28"/>
                <w:szCs w:val="32"/>
              </w:rPr>
              <w:t>/</w:t>
            </w:r>
            <w:r w:rsidR="000C6D8C" w:rsidRPr="00786B66">
              <w:rPr>
                <w:rFonts w:ascii="仿宋_GB2312" w:eastAsia="仿宋_GB2312" w:hAnsi="宋体" w:hint="eastAsia"/>
                <w:color w:val="000000"/>
                <w:sz w:val="28"/>
                <w:szCs w:val="32"/>
              </w:rPr>
              <w:t>T</w:t>
            </w:r>
            <w:r w:rsidR="00830C5C" w:rsidRPr="00786B66">
              <w:rPr>
                <w:rFonts w:ascii="仿宋_GB2312" w:eastAsia="仿宋_GB2312" w:hAnsi="宋体" w:hint="eastAsia"/>
                <w:color w:val="000000"/>
                <w:sz w:val="28"/>
                <w:szCs w:val="32"/>
              </w:rPr>
              <w:t xml:space="preserve"> </w:t>
            </w:r>
            <w:r w:rsidR="000C6D8C" w:rsidRPr="00786B66">
              <w:rPr>
                <w:rFonts w:ascii="仿宋_GB2312" w:eastAsia="仿宋_GB2312" w:hAnsi="宋体" w:hint="eastAsia"/>
                <w:color w:val="000000"/>
                <w:sz w:val="28"/>
                <w:szCs w:val="32"/>
              </w:rPr>
              <w:t>2111.1-2023</w:t>
            </w:r>
            <w:r w:rsidR="001E5B39" w:rsidRPr="00786B66">
              <w:rPr>
                <w:rFonts w:ascii="仿宋_GB2312" w:eastAsia="仿宋_GB2312" w:hAnsi="宋体" w:hint="eastAsia"/>
                <w:color w:val="000000"/>
                <w:sz w:val="28"/>
                <w:szCs w:val="32"/>
              </w:rPr>
              <w:t>）《生态环境损害家鉴定技术指南 第2部分 证据采集》（</w:t>
            </w:r>
            <w:r w:rsidR="000C6D8C" w:rsidRPr="00786B66">
              <w:rPr>
                <w:rFonts w:ascii="仿宋_GB2312" w:eastAsia="仿宋_GB2312" w:hAnsi="宋体" w:hint="eastAsia"/>
                <w:color w:val="000000"/>
                <w:sz w:val="28"/>
                <w:szCs w:val="32"/>
              </w:rPr>
              <w:t>DB42</w:t>
            </w:r>
            <w:r w:rsidR="00830C5C" w:rsidRPr="00786B66">
              <w:rPr>
                <w:rFonts w:ascii="仿宋_GB2312" w:eastAsia="仿宋_GB2312" w:hAnsi="宋体" w:hint="eastAsia"/>
                <w:color w:val="000000"/>
                <w:sz w:val="28"/>
                <w:szCs w:val="32"/>
              </w:rPr>
              <w:t>/</w:t>
            </w:r>
            <w:r w:rsidR="000C6D8C" w:rsidRPr="00786B66">
              <w:rPr>
                <w:rFonts w:ascii="仿宋_GB2312" w:eastAsia="仿宋_GB2312" w:hAnsi="宋体" w:hint="eastAsia"/>
                <w:color w:val="000000"/>
                <w:sz w:val="28"/>
                <w:szCs w:val="32"/>
              </w:rPr>
              <w:t>T</w:t>
            </w:r>
            <w:r w:rsidR="00830C5C" w:rsidRPr="00786B66">
              <w:rPr>
                <w:rFonts w:ascii="仿宋_GB2312" w:eastAsia="仿宋_GB2312" w:hAnsi="宋体" w:hint="eastAsia"/>
                <w:color w:val="000000"/>
                <w:sz w:val="28"/>
                <w:szCs w:val="32"/>
              </w:rPr>
              <w:t xml:space="preserve"> </w:t>
            </w:r>
            <w:r w:rsidR="000C6D8C" w:rsidRPr="00786B66">
              <w:rPr>
                <w:rFonts w:ascii="仿宋_GB2312" w:eastAsia="仿宋_GB2312" w:hAnsi="宋体" w:hint="eastAsia"/>
                <w:color w:val="000000"/>
                <w:sz w:val="28"/>
                <w:szCs w:val="32"/>
              </w:rPr>
              <w:t>2111.</w:t>
            </w:r>
            <w:r w:rsidR="00830C5C" w:rsidRPr="00786B66">
              <w:rPr>
                <w:rFonts w:ascii="仿宋_GB2312" w:eastAsia="仿宋_GB2312" w:hAnsi="宋体" w:hint="eastAsia"/>
                <w:color w:val="000000"/>
                <w:sz w:val="28"/>
                <w:szCs w:val="32"/>
              </w:rPr>
              <w:t>2</w:t>
            </w:r>
            <w:r w:rsidR="000C6D8C" w:rsidRPr="00786B66">
              <w:rPr>
                <w:rFonts w:ascii="仿宋_GB2312" w:eastAsia="仿宋_GB2312" w:hAnsi="宋体" w:hint="eastAsia"/>
                <w:color w:val="000000"/>
                <w:sz w:val="28"/>
                <w:szCs w:val="32"/>
              </w:rPr>
              <w:t>-2023</w:t>
            </w:r>
            <w:r w:rsidR="001E5B39" w:rsidRPr="00786B66">
              <w:rPr>
                <w:rFonts w:ascii="仿宋_GB2312" w:eastAsia="仿宋_GB2312" w:hAnsi="宋体" w:hint="eastAsia"/>
                <w:color w:val="000000"/>
                <w:sz w:val="28"/>
                <w:szCs w:val="32"/>
              </w:rPr>
              <w:t>）等三项标准是对</w:t>
            </w:r>
            <w:r w:rsidR="00916945" w:rsidRPr="00786B66">
              <w:rPr>
                <w:rFonts w:ascii="仿宋_GB2312" w:eastAsia="仿宋_GB2312" w:hAnsi="宋体" w:hint="eastAsia"/>
                <w:color w:val="000000"/>
                <w:sz w:val="28"/>
                <w:szCs w:val="32"/>
              </w:rPr>
              <w:t>生态环境损害</w:t>
            </w:r>
            <w:r w:rsidR="00830C5C" w:rsidRPr="00786B66">
              <w:rPr>
                <w:rFonts w:ascii="仿宋_GB2312" w:eastAsia="仿宋_GB2312" w:hAnsi="宋体" w:hint="eastAsia"/>
                <w:color w:val="000000"/>
                <w:sz w:val="28"/>
                <w:szCs w:val="32"/>
              </w:rPr>
              <w:t>鉴定</w:t>
            </w:r>
            <w:r w:rsidR="000A2C4D" w:rsidRPr="00786B66">
              <w:rPr>
                <w:rFonts w:ascii="仿宋_GB2312" w:eastAsia="仿宋_GB2312" w:hAnsi="宋体" w:hint="eastAsia"/>
                <w:color w:val="000000"/>
                <w:sz w:val="28"/>
                <w:szCs w:val="32"/>
              </w:rPr>
              <w:t>技术内容和程序一般性要求、</w:t>
            </w:r>
            <w:r w:rsidR="00133E12" w:rsidRPr="00786B66">
              <w:rPr>
                <w:rFonts w:ascii="仿宋_GB2312" w:eastAsia="仿宋_GB2312" w:hAnsi="宋体" w:hint="eastAsia"/>
                <w:color w:val="000000"/>
                <w:sz w:val="28"/>
                <w:szCs w:val="32"/>
              </w:rPr>
              <w:t>及</w:t>
            </w:r>
            <w:r w:rsidR="000A2C4D" w:rsidRPr="00786B66">
              <w:rPr>
                <w:rFonts w:ascii="仿宋_GB2312" w:eastAsia="仿宋_GB2312" w:hAnsi="宋体" w:hint="eastAsia"/>
                <w:color w:val="000000"/>
                <w:sz w:val="28"/>
                <w:szCs w:val="32"/>
              </w:rPr>
              <w:t>证据监测和采集等</w:t>
            </w:r>
            <w:r w:rsidR="00133E12" w:rsidRPr="00786B66">
              <w:rPr>
                <w:rFonts w:ascii="仿宋_GB2312" w:eastAsia="仿宋_GB2312" w:hAnsi="宋体" w:hint="eastAsia"/>
                <w:color w:val="000000"/>
                <w:sz w:val="28"/>
                <w:szCs w:val="32"/>
              </w:rPr>
              <w:t>关键环节内容和方法作出规定。上述</w:t>
            </w:r>
            <w:r w:rsidRPr="00786B66">
              <w:rPr>
                <w:rFonts w:ascii="仿宋_GB2312" w:eastAsia="仿宋_GB2312" w:hAnsi="宋体" w:hint="eastAsia"/>
                <w:color w:val="000000"/>
                <w:sz w:val="28"/>
                <w:szCs w:val="32"/>
              </w:rPr>
              <w:t>生态环境损害标准体系</w:t>
            </w:r>
            <w:r w:rsidR="00C95D54" w:rsidRPr="00786B66">
              <w:rPr>
                <w:rFonts w:ascii="仿宋_GB2312" w:eastAsia="仿宋_GB2312" w:hAnsi="宋体" w:hint="eastAsia"/>
                <w:color w:val="000000"/>
                <w:sz w:val="28"/>
                <w:szCs w:val="32"/>
              </w:rPr>
              <w:t>主要是针对土壤</w:t>
            </w:r>
            <w:r w:rsidR="00566045" w:rsidRPr="00786B66">
              <w:rPr>
                <w:rFonts w:ascii="仿宋_GB2312" w:eastAsia="仿宋_GB2312" w:hAnsi="宋体" w:hint="eastAsia"/>
                <w:color w:val="000000"/>
                <w:sz w:val="28"/>
                <w:szCs w:val="32"/>
              </w:rPr>
              <w:t>和</w:t>
            </w:r>
            <w:r w:rsidR="00C95D54" w:rsidRPr="00786B66">
              <w:rPr>
                <w:rFonts w:ascii="仿宋_GB2312" w:eastAsia="仿宋_GB2312" w:hAnsi="宋体" w:hint="eastAsia"/>
                <w:color w:val="000000"/>
                <w:sz w:val="28"/>
                <w:szCs w:val="32"/>
              </w:rPr>
              <w:t>地下水、地表水</w:t>
            </w:r>
            <w:r w:rsidR="00566045" w:rsidRPr="00786B66">
              <w:rPr>
                <w:rFonts w:ascii="仿宋_GB2312" w:eastAsia="仿宋_GB2312" w:hAnsi="宋体" w:hint="eastAsia"/>
                <w:color w:val="000000"/>
                <w:sz w:val="28"/>
                <w:szCs w:val="32"/>
              </w:rPr>
              <w:t>和</w:t>
            </w:r>
            <w:r w:rsidR="00C95D54" w:rsidRPr="00786B66">
              <w:rPr>
                <w:rFonts w:ascii="仿宋_GB2312" w:eastAsia="仿宋_GB2312" w:hAnsi="宋体" w:hint="eastAsia"/>
                <w:color w:val="000000"/>
                <w:sz w:val="28"/>
                <w:szCs w:val="32"/>
              </w:rPr>
              <w:t>沉积物等环境要素和生态系统服务功能的损害调查、损害量化、证据监测、采集等前端鉴定环节</w:t>
            </w:r>
            <w:r w:rsidR="00A20546" w:rsidRPr="00786B66">
              <w:rPr>
                <w:rFonts w:ascii="仿宋_GB2312" w:eastAsia="仿宋_GB2312" w:hAnsi="宋体" w:hint="eastAsia"/>
                <w:color w:val="000000"/>
                <w:sz w:val="28"/>
                <w:szCs w:val="32"/>
              </w:rPr>
              <w:t>，对于鉴定末端的恢复评估环节尚未系统性明确方法体系和程序规范要求。</w:t>
            </w:r>
          </w:p>
          <w:p w:rsidR="003D0A99" w:rsidRPr="00786B66" w:rsidRDefault="003D0A99" w:rsidP="00A72DB6">
            <w:pPr>
              <w:adjustRightInd w:val="0"/>
              <w:snapToGrid w:val="0"/>
              <w:spacing w:line="36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针对环境要素的相关</w:t>
            </w:r>
            <w:r w:rsidR="00EF3258" w:rsidRPr="00786B66">
              <w:rPr>
                <w:rFonts w:ascii="仿宋_GB2312" w:eastAsia="仿宋_GB2312" w:hAnsi="宋体" w:hint="eastAsia"/>
                <w:color w:val="000000"/>
                <w:sz w:val="28"/>
                <w:szCs w:val="32"/>
              </w:rPr>
              <w:t>评估</w:t>
            </w:r>
            <w:r w:rsidR="009B73AB" w:rsidRPr="00786B66">
              <w:rPr>
                <w:rFonts w:ascii="仿宋_GB2312" w:eastAsia="仿宋_GB2312" w:hAnsi="宋体" w:hint="eastAsia"/>
                <w:color w:val="000000"/>
                <w:sz w:val="28"/>
                <w:szCs w:val="32"/>
              </w:rPr>
              <w:t>标准，生态环境部门发布的</w:t>
            </w:r>
            <w:r w:rsidR="00566045" w:rsidRPr="00786B66">
              <w:rPr>
                <w:rFonts w:ascii="仿宋_GB2312" w:eastAsia="仿宋_GB2312" w:hAnsi="宋体" w:hint="eastAsia"/>
                <w:color w:val="000000"/>
                <w:sz w:val="28"/>
                <w:szCs w:val="32"/>
              </w:rPr>
              <w:t>《污染地块风险管控与土壤修复效果评估技术导则（试行）》（HJ25.5-2018）《建设用地土壤污染风险管控和修复监测技术导则》（HJ 25.2-2019）《污染地块地下水修复和风险管控技术导则》（HJ 25.6-2019）</w:t>
            </w:r>
            <w:r w:rsidRPr="00786B66">
              <w:rPr>
                <w:rFonts w:ascii="仿宋_GB2312" w:eastAsia="仿宋_GB2312" w:hAnsi="宋体" w:hint="eastAsia"/>
                <w:color w:val="000000"/>
                <w:sz w:val="28"/>
                <w:szCs w:val="32"/>
              </w:rPr>
              <w:t>等</w:t>
            </w:r>
            <w:r w:rsidR="009B73AB" w:rsidRPr="00786B66">
              <w:rPr>
                <w:rFonts w:ascii="仿宋_GB2312" w:eastAsia="仿宋_GB2312" w:hAnsi="宋体" w:hint="eastAsia"/>
                <w:color w:val="000000"/>
                <w:sz w:val="28"/>
                <w:szCs w:val="32"/>
              </w:rPr>
              <w:t>标准主要是针对</w:t>
            </w:r>
            <w:r w:rsidR="00566045" w:rsidRPr="00786B66">
              <w:rPr>
                <w:rFonts w:ascii="仿宋_GB2312" w:eastAsia="仿宋_GB2312" w:hAnsi="宋体" w:hint="eastAsia"/>
                <w:color w:val="000000"/>
                <w:sz w:val="28"/>
                <w:szCs w:val="32"/>
              </w:rPr>
              <w:t>建设用地污染地块风险管控与土壤环境修复效果评估的内容、程序、方法和技术要求，</w:t>
            </w:r>
            <w:r w:rsidRPr="00786B66">
              <w:rPr>
                <w:rFonts w:ascii="仿宋_GB2312" w:eastAsia="仿宋_GB2312" w:hAnsi="宋体" w:hint="eastAsia"/>
                <w:color w:val="000000"/>
                <w:sz w:val="28"/>
                <w:szCs w:val="32"/>
              </w:rPr>
              <w:t>并对</w:t>
            </w:r>
            <w:r w:rsidR="00566045" w:rsidRPr="00786B66">
              <w:rPr>
                <w:rFonts w:ascii="仿宋_GB2312" w:eastAsia="仿宋_GB2312" w:hAnsi="宋体" w:hint="eastAsia"/>
                <w:color w:val="000000"/>
                <w:sz w:val="28"/>
                <w:szCs w:val="32"/>
              </w:rPr>
              <w:t>地下水监测布点、采样、检测指标和达标性等提出了一些</w:t>
            </w:r>
            <w:r w:rsidRPr="00786B66">
              <w:rPr>
                <w:rFonts w:ascii="仿宋_GB2312" w:eastAsia="仿宋_GB2312" w:hAnsi="宋体" w:hint="eastAsia"/>
                <w:color w:val="000000"/>
                <w:sz w:val="28"/>
                <w:szCs w:val="32"/>
              </w:rPr>
              <w:t>规定</w:t>
            </w:r>
            <w:r w:rsidR="00566045" w:rsidRPr="00786B66">
              <w:rPr>
                <w:rFonts w:ascii="仿宋_GB2312" w:eastAsia="仿宋_GB2312" w:hAnsi="宋体" w:hint="eastAsia"/>
                <w:color w:val="000000"/>
                <w:sz w:val="28"/>
                <w:szCs w:val="32"/>
              </w:rPr>
              <w:t>要求</w:t>
            </w:r>
            <w:r w:rsidRPr="00786B66">
              <w:rPr>
                <w:rFonts w:ascii="仿宋_GB2312" w:eastAsia="仿宋_GB2312" w:hAnsi="宋体" w:hint="eastAsia"/>
                <w:color w:val="000000"/>
                <w:sz w:val="28"/>
                <w:szCs w:val="32"/>
              </w:rPr>
              <w:t>。地表水与沉积物、森林等生态系统的恢复未有相关恢复评估技术导则，同时</w:t>
            </w:r>
            <w:r w:rsidR="0080227E" w:rsidRPr="00786B66">
              <w:rPr>
                <w:rFonts w:ascii="仿宋_GB2312" w:eastAsia="仿宋_GB2312" w:hAnsi="宋体" w:hint="eastAsia"/>
                <w:color w:val="000000"/>
                <w:sz w:val="28"/>
                <w:szCs w:val="32"/>
              </w:rPr>
              <w:t>现有的土壤和地下水恢复评估技术标准也未与国家生态环境损害鉴定标准体系相融合，</w:t>
            </w:r>
            <w:r w:rsidR="00AE43E6" w:rsidRPr="00786B66">
              <w:rPr>
                <w:rFonts w:ascii="仿宋_GB2312" w:eastAsia="仿宋_GB2312" w:hAnsi="宋体" w:hint="eastAsia"/>
                <w:color w:val="000000"/>
                <w:sz w:val="28"/>
                <w:szCs w:val="32"/>
              </w:rPr>
              <w:t>与损</w:t>
            </w:r>
            <w:r w:rsidR="00AE43E6" w:rsidRPr="00786B66">
              <w:rPr>
                <w:rFonts w:ascii="仿宋_GB2312" w:eastAsia="仿宋_GB2312" w:hAnsi="宋体" w:hint="eastAsia"/>
                <w:color w:val="000000"/>
                <w:sz w:val="28"/>
                <w:szCs w:val="32"/>
              </w:rPr>
              <w:lastRenderedPageBreak/>
              <w:t>害</w:t>
            </w:r>
            <w:r w:rsidR="0080227E" w:rsidRPr="00786B66">
              <w:rPr>
                <w:rFonts w:ascii="仿宋_GB2312" w:eastAsia="仿宋_GB2312" w:hAnsi="宋体" w:hint="eastAsia"/>
                <w:color w:val="000000"/>
                <w:sz w:val="28"/>
                <w:szCs w:val="32"/>
              </w:rPr>
              <w:t>鉴定的一般性内容、程序</w:t>
            </w:r>
            <w:r w:rsidR="00AE43E6" w:rsidRPr="00786B66">
              <w:rPr>
                <w:rFonts w:ascii="仿宋_GB2312" w:eastAsia="仿宋_GB2312" w:hAnsi="宋体" w:hint="eastAsia"/>
                <w:color w:val="000000"/>
                <w:sz w:val="28"/>
                <w:szCs w:val="32"/>
              </w:rPr>
              <w:t>步骤</w:t>
            </w:r>
            <w:r w:rsidR="0080227E" w:rsidRPr="00786B66">
              <w:rPr>
                <w:rFonts w:ascii="仿宋_GB2312" w:eastAsia="仿宋_GB2312" w:hAnsi="宋体" w:hint="eastAsia"/>
                <w:color w:val="000000"/>
                <w:sz w:val="28"/>
                <w:szCs w:val="32"/>
              </w:rPr>
              <w:t>和文书编制未</w:t>
            </w:r>
            <w:r w:rsidR="00CE7E45" w:rsidRPr="00786B66">
              <w:rPr>
                <w:rFonts w:ascii="仿宋_GB2312" w:eastAsia="仿宋_GB2312" w:hAnsi="宋体" w:hint="eastAsia"/>
                <w:color w:val="000000"/>
                <w:sz w:val="28"/>
                <w:szCs w:val="32"/>
              </w:rPr>
              <w:t>形成</w:t>
            </w:r>
            <w:r w:rsidR="0080227E" w:rsidRPr="00786B66">
              <w:rPr>
                <w:rFonts w:ascii="仿宋_GB2312" w:eastAsia="仿宋_GB2312" w:hAnsi="宋体" w:hint="eastAsia"/>
                <w:color w:val="000000"/>
                <w:sz w:val="28"/>
                <w:szCs w:val="32"/>
              </w:rPr>
              <w:t>统一。</w:t>
            </w:r>
          </w:p>
          <w:p w:rsidR="009B73AB" w:rsidRPr="00786B66" w:rsidRDefault="009B73AB" w:rsidP="00DC747C">
            <w:pPr>
              <w:numPr>
                <w:ilvl w:val="255"/>
                <w:numId w:val="0"/>
              </w:numPr>
              <w:adjustRightInd w:val="0"/>
              <w:snapToGrid w:val="0"/>
              <w:spacing w:line="36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本标准</w:t>
            </w:r>
            <w:r w:rsidR="00CE7E45" w:rsidRPr="00786B66">
              <w:rPr>
                <w:rFonts w:ascii="仿宋_GB2312" w:eastAsia="仿宋_GB2312" w:hAnsi="宋体" w:hint="eastAsia"/>
                <w:color w:val="000000"/>
                <w:sz w:val="28"/>
                <w:szCs w:val="32"/>
              </w:rPr>
              <w:t>聚焦生态环境损害恢复评估程序、内容和方法</w:t>
            </w:r>
            <w:r w:rsidRPr="00786B66">
              <w:rPr>
                <w:rFonts w:ascii="仿宋_GB2312" w:eastAsia="仿宋_GB2312" w:hAnsi="宋体" w:hint="eastAsia"/>
                <w:color w:val="000000"/>
                <w:sz w:val="28"/>
                <w:szCs w:val="32"/>
              </w:rPr>
              <w:t>，</w:t>
            </w:r>
            <w:r w:rsidR="009578FE" w:rsidRPr="00786B66">
              <w:rPr>
                <w:rFonts w:ascii="仿宋_GB2312" w:eastAsia="仿宋_GB2312" w:hAnsi="宋体" w:hint="eastAsia"/>
                <w:color w:val="000000"/>
                <w:sz w:val="28"/>
                <w:szCs w:val="32"/>
              </w:rPr>
              <w:t>对鉴定</w:t>
            </w:r>
            <w:r w:rsidR="00CE7E45" w:rsidRPr="00786B66">
              <w:rPr>
                <w:rFonts w:ascii="仿宋_GB2312" w:eastAsia="仿宋_GB2312" w:hAnsi="宋体" w:hint="eastAsia"/>
                <w:color w:val="000000"/>
                <w:sz w:val="28"/>
                <w:szCs w:val="32"/>
              </w:rPr>
              <w:t>评估机构和评估人员在进行评估活动的方式、步骤以及相关规则</w:t>
            </w:r>
            <w:r w:rsidR="009578FE" w:rsidRPr="00786B66">
              <w:rPr>
                <w:rFonts w:ascii="仿宋_GB2312" w:eastAsia="仿宋_GB2312" w:hAnsi="宋体" w:hint="eastAsia"/>
                <w:color w:val="000000"/>
                <w:sz w:val="28"/>
                <w:szCs w:val="32"/>
              </w:rPr>
              <w:t>作出规定</w:t>
            </w:r>
            <w:r w:rsidR="00CE7E45" w:rsidRPr="00786B66">
              <w:rPr>
                <w:rFonts w:ascii="仿宋_GB2312" w:eastAsia="仿宋_GB2312" w:hAnsi="宋体" w:hint="eastAsia"/>
                <w:color w:val="000000"/>
                <w:sz w:val="28"/>
                <w:szCs w:val="32"/>
              </w:rPr>
              <w:t>，</w:t>
            </w:r>
            <w:r w:rsidR="009578FE" w:rsidRPr="00786B66">
              <w:rPr>
                <w:rFonts w:ascii="仿宋_GB2312" w:eastAsia="仿宋_GB2312" w:hAnsi="宋体" w:hint="eastAsia"/>
                <w:color w:val="000000"/>
                <w:sz w:val="28"/>
                <w:szCs w:val="32"/>
              </w:rPr>
              <w:t>提出恢复评估工作中前期准备、恢复前评估、恢复过程评估和恢复达标评估的内容和方法，并分别针对土壤和地下水、地表水和沉积物等环境要素及生态系统等细化规定</w:t>
            </w:r>
            <w:r w:rsidR="007241AA" w:rsidRPr="00786B66">
              <w:rPr>
                <w:rFonts w:ascii="仿宋_GB2312" w:eastAsia="仿宋_GB2312" w:hAnsi="宋体" w:hint="eastAsia"/>
                <w:color w:val="000000"/>
                <w:sz w:val="28"/>
                <w:szCs w:val="32"/>
              </w:rPr>
              <w:t>恢复</w:t>
            </w:r>
            <w:r w:rsidR="009578FE" w:rsidRPr="00786B66">
              <w:rPr>
                <w:rFonts w:ascii="仿宋_GB2312" w:eastAsia="仿宋_GB2312" w:hAnsi="宋体" w:hint="eastAsia"/>
                <w:color w:val="000000"/>
                <w:sz w:val="28"/>
                <w:szCs w:val="32"/>
              </w:rPr>
              <w:t>评估</w:t>
            </w:r>
            <w:r w:rsidR="007241AA" w:rsidRPr="00786B66">
              <w:rPr>
                <w:rFonts w:ascii="仿宋_GB2312" w:eastAsia="仿宋_GB2312" w:hAnsi="宋体" w:hint="eastAsia"/>
                <w:color w:val="000000"/>
                <w:sz w:val="28"/>
                <w:szCs w:val="32"/>
              </w:rPr>
              <w:t>所涉</w:t>
            </w:r>
            <w:r w:rsidR="009578FE" w:rsidRPr="00786B66">
              <w:rPr>
                <w:rFonts w:ascii="仿宋_GB2312" w:eastAsia="仿宋_GB2312" w:hAnsi="宋体" w:hint="eastAsia"/>
                <w:color w:val="000000"/>
                <w:sz w:val="28"/>
                <w:szCs w:val="32"/>
              </w:rPr>
              <w:t>监测要点和效果评估技术方法。</w:t>
            </w:r>
          </w:p>
        </w:tc>
      </w:tr>
      <w:tr w:rsidR="005902A6" w:rsidRPr="00786B66">
        <w:trPr>
          <w:trHeight w:val="1083"/>
          <w:jc w:val="center"/>
        </w:trPr>
        <w:tc>
          <w:tcPr>
            <w:tcW w:w="5000" w:type="pct"/>
            <w:gridSpan w:val="4"/>
            <w:shd w:val="clear" w:color="auto" w:fill="auto"/>
          </w:tcPr>
          <w:p w:rsidR="005902A6" w:rsidRPr="00A217ED" w:rsidRDefault="00527B77" w:rsidP="00A72DB6">
            <w:pPr>
              <w:numPr>
                <w:ilvl w:val="255"/>
                <w:numId w:val="0"/>
              </w:numPr>
              <w:adjustRightInd w:val="0"/>
              <w:snapToGrid w:val="0"/>
              <w:spacing w:line="300" w:lineRule="auto"/>
              <w:rPr>
                <w:rFonts w:ascii="仿宋_GB2312" w:eastAsia="仿宋_GB2312" w:hAnsi="宋体"/>
                <w:color w:val="000000"/>
                <w:sz w:val="28"/>
                <w:szCs w:val="32"/>
              </w:rPr>
            </w:pPr>
            <w:r w:rsidRPr="00A217ED">
              <w:rPr>
                <w:rFonts w:ascii="仿宋_GB2312" w:eastAsia="仿宋_GB2312" w:hAnsi="宋体" w:hint="eastAsia"/>
                <w:color w:val="000000"/>
                <w:sz w:val="28"/>
                <w:szCs w:val="32"/>
              </w:rPr>
              <w:lastRenderedPageBreak/>
              <w:t>4.风险分析：</w:t>
            </w:r>
          </w:p>
          <w:p w:rsidR="005902A6" w:rsidRPr="00786B66" w:rsidRDefault="00527B77" w:rsidP="00A217ED">
            <w:p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本标准的制订，是基于我国现有法律规定，主要服务于鉴定</w:t>
            </w:r>
            <w:r w:rsidR="003F12A6" w:rsidRPr="00786B66">
              <w:rPr>
                <w:rFonts w:ascii="仿宋_GB2312" w:eastAsia="仿宋_GB2312" w:hAnsi="宋体" w:hint="eastAsia"/>
                <w:color w:val="000000"/>
                <w:sz w:val="28"/>
                <w:szCs w:val="32"/>
              </w:rPr>
              <w:t>评估</w:t>
            </w:r>
            <w:r w:rsidRPr="00786B66">
              <w:rPr>
                <w:rFonts w:ascii="仿宋_GB2312" w:eastAsia="仿宋_GB2312" w:hAnsi="宋体" w:hint="eastAsia"/>
                <w:color w:val="000000"/>
                <w:sz w:val="28"/>
                <w:szCs w:val="32"/>
              </w:rPr>
              <w:t>机构、行政机关</w:t>
            </w:r>
            <w:r w:rsidR="003F12A6" w:rsidRPr="00786B66">
              <w:rPr>
                <w:rFonts w:ascii="仿宋_GB2312" w:eastAsia="仿宋_GB2312" w:hAnsi="宋体" w:hint="eastAsia"/>
                <w:color w:val="000000"/>
                <w:sz w:val="28"/>
                <w:szCs w:val="32"/>
              </w:rPr>
              <w:t>、司法机关</w:t>
            </w:r>
            <w:r w:rsidRPr="00786B66">
              <w:rPr>
                <w:rFonts w:ascii="仿宋_GB2312" w:eastAsia="仿宋_GB2312" w:hAnsi="宋体" w:hint="eastAsia"/>
                <w:color w:val="000000"/>
                <w:sz w:val="28"/>
                <w:szCs w:val="32"/>
              </w:rPr>
              <w:t>等，若法条有所更新，遵循国家的最新要求。</w:t>
            </w:r>
          </w:p>
          <w:p w:rsidR="005902A6" w:rsidRPr="00786B66" w:rsidRDefault="00B6799F" w:rsidP="00A217ED">
            <w:p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环境标准体系庞大且发展步伐不断加快</w:t>
            </w:r>
            <w:r w:rsidR="000221F2" w:rsidRPr="00786B66">
              <w:rPr>
                <w:rFonts w:ascii="仿宋_GB2312" w:eastAsia="仿宋_GB2312" w:hAnsi="宋体" w:hint="eastAsia"/>
                <w:color w:val="000000"/>
                <w:sz w:val="28"/>
                <w:szCs w:val="32"/>
              </w:rPr>
              <w:t>，</w:t>
            </w:r>
            <w:r w:rsidR="00527B77" w:rsidRPr="00786B66">
              <w:rPr>
                <w:rFonts w:ascii="仿宋_GB2312" w:eastAsia="仿宋_GB2312" w:hAnsi="宋体" w:hint="eastAsia"/>
                <w:color w:val="000000"/>
                <w:sz w:val="28"/>
                <w:szCs w:val="32"/>
              </w:rPr>
              <w:t>若标准与其他标准规定内容有出入，根据《司法鉴定程序通则》中第二十二条，应当依下列顺序遵守和采用该专业领域的技术标准和技术规范：（1）国家标准和技术规范；（2）司法鉴定主管部门、司法鉴定行业组织或者相关行业主管部门制定的行业标准和技术规范；（3）该专业领域多数专家认可的技术标准和技术规范。</w:t>
            </w:r>
          </w:p>
          <w:p w:rsidR="005902A6" w:rsidRDefault="00527B77" w:rsidP="00A217ED">
            <w:pPr>
              <w:adjustRightInd w:val="0"/>
              <w:snapToGrid w:val="0"/>
              <w:spacing w:line="300" w:lineRule="auto"/>
              <w:ind w:firstLineChars="200" w:firstLine="560"/>
              <w:rPr>
                <w:rFonts w:ascii="仿宋_GB2312" w:eastAsia="仿宋_GB2312" w:hAnsi="宋体"/>
                <w:color w:val="000000"/>
                <w:sz w:val="28"/>
                <w:szCs w:val="32"/>
              </w:rPr>
            </w:pPr>
            <w:r w:rsidRPr="00786B66">
              <w:rPr>
                <w:rFonts w:ascii="仿宋_GB2312" w:eastAsia="仿宋_GB2312" w:hAnsi="宋体" w:hint="eastAsia"/>
                <w:color w:val="000000"/>
                <w:sz w:val="28"/>
                <w:szCs w:val="32"/>
              </w:rPr>
              <w:t>标准实施后，出现的重大意见分歧时，按照司法部司法鉴定程序，存在异议的课题可通过研讨会讨论或其它方式解决，并载明异议。</w:t>
            </w:r>
          </w:p>
          <w:p w:rsidR="00A217ED" w:rsidRPr="00786B66" w:rsidRDefault="00A217ED" w:rsidP="00A217ED">
            <w:pPr>
              <w:adjustRightInd w:val="0"/>
              <w:snapToGrid w:val="0"/>
              <w:spacing w:line="300" w:lineRule="auto"/>
              <w:ind w:firstLineChars="200" w:firstLine="560"/>
              <w:rPr>
                <w:rFonts w:ascii="仿宋_GB2312" w:eastAsia="仿宋_GB2312" w:hAnsi="宋体" w:hint="eastAsia"/>
                <w:color w:val="000000"/>
                <w:sz w:val="28"/>
                <w:szCs w:val="32"/>
              </w:rPr>
            </w:pPr>
          </w:p>
        </w:tc>
      </w:tr>
      <w:tr w:rsidR="005902A6" w:rsidRPr="00786B66">
        <w:trPr>
          <w:trHeight w:val="1199"/>
          <w:jc w:val="center"/>
        </w:trPr>
        <w:tc>
          <w:tcPr>
            <w:tcW w:w="5000" w:type="pct"/>
            <w:gridSpan w:val="4"/>
            <w:shd w:val="clear" w:color="auto" w:fill="auto"/>
          </w:tcPr>
          <w:p w:rsidR="005902A6" w:rsidRPr="00786B66" w:rsidRDefault="00527B77" w:rsidP="00A72DB6">
            <w:pPr>
              <w:adjustRightInd w:val="0"/>
              <w:snapToGrid w:val="0"/>
              <w:spacing w:line="300" w:lineRule="auto"/>
              <w:rPr>
                <w:rFonts w:ascii="仿宋_GB2312" w:eastAsia="仿宋_GB2312" w:hAnsi="宋体"/>
                <w:color w:val="000000"/>
                <w:sz w:val="28"/>
                <w:szCs w:val="32"/>
              </w:rPr>
            </w:pPr>
            <w:r w:rsidRPr="00786B66">
              <w:rPr>
                <w:rFonts w:ascii="仿宋_GB2312" w:eastAsia="仿宋_GB2312" w:hAnsi="宋体" w:hint="eastAsia"/>
                <w:color w:val="000000"/>
                <w:sz w:val="28"/>
                <w:szCs w:val="32"/>
              </w:rPr>
              <w:t>5.宣贯实施计划：</w:t>
            </w:r>
          </w:p>
          <w:p w:rsidR="00F12979" w:rsidRPr="00786B66" w:rsidRDefault="00F12979" w:rsidP="00A217ED">
            <w:pPr>
              <w:spacing w:line="300" w:lineRule="auto"/>
              <w:ind w:firstLine="482"/>
              <w:rPr>
                <w:rFonts w:ascii="仿宋_GB2312" w:eastAsia="仿宋_GB2312"/>
                <w:color w:val="000000"/>
                <w:sz w:val="28"/>
                <w:szCs w:val="32"/>
              </w:rPr>
            </w:pPr>
            <w:r w:rsidRPr="00786B66">
              <w:rPr>
                <w:rFonts w:ascii="仿宋_GB2312" w:eastAsia="仿宋_GB2312" w:hint="eastAsia"/>
                <w:color w:val="000000"/>
                <w:sz w:val="28"/>
                <w:szCs w:val="32"/>
              </w:rPr>
              <w:t>（一）标准草案编</w:t>
            </w:r>
            <w:bookmarkStart w:id="2" w:name="_GoBack"/>
            <w:bookmarkEnd w:id="2"/>
            <w:r w:rsidRPr="00786B66">
              <w:rPr>
                <w:rFonts w:ascii="仿宋_GB2312" w:eastAsia="仿宋_GB2312" w:hint="eastAsia"/>
                <w:color w:val="000000"/>
                <w:sz w:val="28"/>
                <w:szCs w:val="32"/>
              </w:rPr>
              <w:t>制阶段：根据国内外研究以及国家标准、行业标准，结合省情，编制《生态环境损害鉴定技术指南 第</w:t>
            </w:r>
            <w:r w:rsidR="00C56F00" w:rsidRPr="00786B66">
              <w:rPr>
                <w:rFonts w:ascii="仿宋_GB2312" w:eastAsia="仿宋_GB2312" w:hint="eastAsia"/>
                <w:color w:val="000000"/>
                <w:sz w:val="28"/>
                <w:szCs w:val="32"/>
              </w:rPr>
              <w:t>5</w:t>
            </w:r>
            <w:r w:rsidRPr="00786B66">
              <w:rPr>
                <w:rFonts w:ascii="仿宋_GB2312" w:eastAsia="仿宋_GB2312" w:hint="eastAsia"/>
                <w:color w:val="000000"/>
                <w:sz w:val="28"/>
                <w:szCs w:val="32"/>
              </w:rPr>
              <w:t>部分：</w:t>
            </w:r>
            <w:r w:rsidR="00C56F00" w:rsidRPr="00786B66">
              <w:rPr>
                <w:rFonts w:ascii="仿宋_GB2312" w:eastAsia="仿宋_GB2312" w:hint="eastAsia"/>
                <w:color w:val="000000"/>
                <w:sz w:val="28"/>
                <w:szCs w:val="32"/>
              </w:rPr>
              <w:t>恢复评估</w:t>
            </w:r>
            <w:r w:rsidRPr="00786B66">
              <w:rPr>
                <w:rFonts w:ascii="仿宋_GB2312" w:eastAsia="仿宋_GB2312" w:hint="eastAsia"/>
                <w:color w:val="000000"/>
                <w:sz w:val="28"/>
                <w:szCs w:val="32"/>
              </w:rPr>
              <w:t>》草案；并多方征求业内专家意见，在此基础上修改完善后形成标准征求意见稿。</w:t>
            </w:r>
          </w:p>
          <w:p w:rsidR="00F12979" w:rsidRPr="00786B66" w:rsidRDefault="00F12979" w:rsidP="00C56F00">
            <w:pPr>
              <w:spacing w:line="300" w:lineRule="auto"/>
              <w:ind w:firstLine="480"/>
              <w:rPr>
                <w:rFonts w:ascii="仿宋_GB2312" w:eastAsia="仿宋_GB2312"/>
                <w:color w:val="000000"/>
                <w:sz w:val="28"/>
                <w:szCs w:val="32"/>
              </w:rPr>
            </w:pPr>
            <w:r w:rsidRPr="00786B66">
              <w:rPr>
                <w:rFonts w:ascii="仿宋_GB2312" w:eastAsia="仿宋_GB2312" w:hint="eastAsia"/>
                <w:color w:val="000000"/>
                <w:sz w:val="28"/>
                <w:szCs w:val="32"/>
              </w:rPr>
              <w:t>（二）标准征求意见阶段：向各标准可能涉及的高等院校、科研院所、</w:t>
            </w:r>
            <w:r w:rsidR="00C56F00" w:rsidRPr="00786B66">
              <w:rPr>
                <w:rFonts w:ascii="仿宋_GB2312" w:eastAsia="仿宋_GB2312" w:hint="eastAsia"/>
                <w:color w:val="000000"/>
                <w:sz w:val="28"/>
                <w:szCs w:val="32"/>
              </w:rPr>
              <w:t>生态环境等国务院相关主管部门推荐机构、</w:t>
            </w:r>
            <w:r w:rsidRPr="00786B66">
              <w:rPr>
                <w:rFonts w:ascii="仿宋_GB2312" w:eastAsia="仿宋_GB2312" w:hint="eastAsia"/>
                <w:color w:val="000000"/>
                <w:sz w:val="28"/>
                <w:szCs w:val="32"/>
              </w:rPr>
              <w:t>司法鉴定机构、律</w:t>
            </w:r>
            <w:r w:rsidRPr="00786B66">
              <w:rPr>
                <w:rFonts w:ascii="仿宋_GB2312" w:eastAsia="仿宋_GB2312" w:hint="eastAsia"/>
                <w:color w:val="000000"/>
                <w:sz w:val="28"/>
                <w:szCs w:val="32"/>
              </w:rPr>
              <w:lastRenderedPageBreak/>
              <w:t>师事务所、代表性企业等单位征求意见；根据收集的征求意见，对标准进行修改与完善，形成《生态环境损害鉴定技术指南 第</w:t>
            </w:r>
            <w:r w:rsidR="00C56F00" w:rsidRPr="00786B66">
              <w:rPr>
                <w:rFonts w:ascii="仿宋_GB2312" w:eastAsia="仿宋_GB2312" w:hint="eastAsia"/>
                <w:color w:val="000000"/>
                <w:sz w:val="28"/>
                <w:szCs w:val="32"/>
              </w:rPr>
              <w:t>5部分：恢复评估》送审稿</w:t>
            </w:r>
          </w:p>
          <w:p w:rsidR="00173B7B" w:rsidRPr="00786B66" w:rsidRDefault="00F12979" w:rsidP="00C56F00">
            <w:pPr>
              <w:spacing w:line="300" w:lineRule="auto"/>
              <w:ind w:firstLine="480"/>
              <w:rPr>
                <w:rFonts w:ascii="仿宋_GB2312" w:eastAsia="仿宋_GB2312"/>
                <w:color w:val="000000"/>
                <w:sz w:val="28"/>
                <w:szCs w:val="32"/>
              </w:rPr>
            </w:pPr>
            <w:r w:rsidRPr="00786B66">
              <w:rPr>
                <w:rFonts w:ascii="仿宋_GB2312" w:eastAsia="仿宋_GB2312" w:hint="eastAsia"/>
                <w:color w:val="000000"/>
                <w:sz w:val="28"/>
                <w:szCs w:val="32"/>
              </w:rPr>
              <w:t>（三）标准发布阶段：召开标准专家评审会，根据专家评审会意见修改后，形成《生态环境损害鉴定技术指南 第</w:t>
            </w:r>
            <w:r w:rsidR="00C56F00" w:rsidRPr="00786B66">
              <w:rPr>
                <w:rFonts w:ascii="仿宋_GB2312" w:eastAsia="仿宋_GB2312" w:hint="eastAsia"/>
                <w:color w:val="000000"/>
                <w:sz w:val="28"/>
                <w:szCs w:val="32"/>
              </w:rPr>
              <w:t>5</w:t>
            </w:r>
            <w:r w:rsidRPr="00786B66">
              <w:rPr>
                <w:rFonts w:ascii="仿宋_GB2312" w:eastAsia="仿宋_GB2312" w:hint="eastAsia"/>
                <w:color w:val="000000"/>
                <w:sz w:val="28"/>
                <w:szCs w:val="32"/>
              </w:rPr>
              <w:t>部分：</w:t>
            </w:r>
            <w:r w:rsidR="00C56F00" w:rsidRPr="00786B66">
              <w:rPr>
                <w:rFonts w:ascii="仿宋_GB2312" w:eastAsia="仿宋_GB2312" w:hint="eastAsia"/>
                <w:color w:val="000000"/>
                <w:sz w:val="28"/>
                <w:szCs w:val="32"/>
              </w:rPr>
              <w:t>恢复评估</w:t>
            </w:r>
            <w:r w:rsidRPr="00786B66">
              <w:rPr>
                <w:rFonts w:ascii="仿宋_GB2312" w:eastAsia="仿宋_GB2312" w:hint="eastAsia"/>
                <w:color w:val="000000"/>
                <w:sz w:val="28"/>
                <w:szCs w:val="32"/>
              </w:rPr>
              <w:t>》报批稿。</w:t>
            </w:r>
          </w:p>
        </w:tc>
      </w:tr>
      <w:tr w:rsidR="005902A6" w:rsidRPr="00786B66">
        <w:trPr>
          <w:trHeight w:val="3491"/>
          <w:jc w:val="center"/>
        </w:trPr>
        <w:tc>
          <w:tcPr>
            <w:tcW w:w="5000" w:type="pct"/>
            <w:gridSpan w:val="4"/>
            <w:shd w:val="clear" w:color="auto" w:fill="auto"/>
          </w:tcPr>
          <w:p w:rsidR="005902A6" w:rsidRPr="00786B66" w:rsidRDefault="00527B77" w:rsidP="00A72DB6">
            <w:pPr>
              <w:pStyle w:val="a9"/>
              <w:widowControl w:val="0"/>
              <w:spacing w:before="0" w:beforeAutospacing="0" w:after="0" w:afterAutospacing="0" w:line="300" w:lineRule="auto"/>
              <w:jc w:val="both"/>
              <w:rPr>
                <w:rFonts w:ascii="仿宋_GB2312" w:eastAsia="仿宋_GB2312" w:hAnsi="仿宋_GB2312" w:cs="仿宋_GB2312"/>
                <w:kern w:val="2"/>
                <w:sz w:val="28"/>
                <w:szCs w:val="32"/>
              </w:rPr>
            </w:pPr>
            <w:r w:rsidRPr="00786B66">
              <w:rPr>
                <w:rFonts w:ascii="仿宋_GB2312" w:eastAsia="仿宋_GB2312" w:hAnsi="仿宋_GB2312" w:cs="仿宋_GB2312" w:hint="eastAsia"/>
                <w:kern w:val="2"/>
                <w:sz w:val="28"/>
                <w:szCs w:val="32"/>
              </w:rPr>
              <w:lastRenderedPageBreak/>
              <w:t>6.专家组：</w:t>
            </w:r>
          </w:p>
          <w:p w:rsidR="005902A6" w:rsidRPr="00786B66" w:rsidRDefault="00527B77" w:rsidP="00A72DB6">
            <w:pPr>
              <w:pStyle w:val="a9"/>
              <w:widowControl w:val="0"/>
              <w:spacing w:before="0" w:beforeAutospacing="0" w:after="0" w:afterAutospacing="0" w:line="300" w:lineRule="auto"/>
              <w:ind w:firstLineChars="200" w:firstLine="560"/>
              <w:jc w:val="both"/>
              <w:rPr>
                <w:rFonts w:ascii="仿宋_GB2312" w:eastAsia="仿宋_GB2312"/>
                <w:color w:val="000000"/>
                <w:sz w:val="28"/>
                <w:szCs w:val="32"/>
              </w:rPr>
            </w:pPr>
            <w:r w:rsidRPr="00786B66">
              <w:rPr>
                <w:rFonts w:ascii="仿宋_GB2312" w:eastAsia="仿宋_GB2312" w:hAnsi="仿宋_GB2312" w:cs="仿宋_GB2312" w:hint="eastAsia"/>
                <w:kern w:val="2"/>
                <w:sz w:val="28"/>
                <w:szCs w:val="32"/>
              </w:rPr>
              <w:t>张强，项目负责人/编制组组长，统筹负责标准起草工作，</w:t>
            </w:r>
            <w:r w:rsidRPr="00786B66">
              <w:rPr>
                <w:rFonts w:ascii="仿宋_GB2312" w:eastAsia="仿宋_GB2312" w:hint="eastAsia"/>
                <w:color w:val="000000"/>
                <w:sz w:val="28"/>
                <w:szCs w:val="32"/>
              </w:rPr>
              <w:t>湖北省生态环境科学研究院，高级工程师/所长，环境科学，027-87863566；</w:t>
            </w:r>
          </w:p>
          <w:p w:rsidR="005902A6" w:rsidRPr="00786B66" w:rsidRDefault="00E91358" w:rsidP="00A72DB6">
            <w:pPr>
              <w:pStyle w:val="a9"/>
              <w:widowControl w:val="0"/>
              <w:spacing w:before="0" w:beforeAutospacing="0" w:after="0" w:afterAutospacing="0" w:line="300" w:lineRule="auto"/>
              <w:ind w:firstLineChars="200" w:firstLine="560"/>
              <w:jc w:val="both"/>
              <w:rPr>
                <w:rFonts w:ascii="仿宋_GB2312" w:eastAsia="仿宋_GB2312"/>
                <w:color w:val="000000"/>
                <w:sz w:val="28"/>
                <w:szCs w:val="32"/>
              </w:rPr>
            </w:pPr>
            <w:r w:rsidRPr="00786B66">
              <w:rPr>
                <w:rFonts w:ascii="仿宋_GB2312" w:eastAsia="仿宋_GB2312" w:hint="eastAsia"/>
                <w:color w:val="000000"/>
                <w:sz w:val="28"/>
                <w:szCs w:val="32"/>
              </w:rPr>
              <w:t>包美玲</w:t>
            </w:r>
            <w:r w:rsidR="00527B77" w:rsidRPr="00786B66">
              <w:rPr>
                <w:rFonts w:ascii="仿宋_GB2312" w:eastAsia="仿宋_GB2312" w:hint="eastAsia"/>
                <w:color w:val="000000"/>
                <w:sz w:val="28"/>
                <w:szCs w:val="32"/>
              </w:rPr>
              <w:t>，</w:t>
            </w:r>
            <w:r w:rsidR="00527B77" w:rsidRPr="00786B66">
              <w:rPr>
                <w:rFonts w:ascii="仿宋_GB2312" w:eastAsia="仿宋_GB2312" w:hAnsi="仿宋_GB2312" w:cs="仿宋_GB2312" w:hint="eastAsia"/>
                <w:kern w:val="2"/>
                <w:sz w:val="28"/>
                <w:szCs w:val="32"/>
              </w:rPr>
              <w:t>编制组副组长</w:t>
            </w:r>
            <w:r w:rsidR="00527B77" w:rsidRPr="00786B66">
              <w:rPr>
                <w:rFonts w:ascii="仿宋_GB2312" w:eastAsia="仿宋_GB2312" w:hint="eastAsia"/>
                <w:color w:val="000000"/>
                <w:sz w:val="28"/>
                <w:szCs w:val="32"/>
              </w:rPr>
              <w:t>，协调推进标准编制工作，湖北省生态环境科学研究院，工程师，环境工程，027-</w:t>
            </w:r>
            <w:r w:rsidRPr="00786B66">
              <w:rPr>
                <w:rFonts w:ascii="仿宋_GB2312" w:eastAsia="仿宋_GB2312" w:hint="eastAsia"/>
                <w:color w:val="000000"/>
                <w:sz w:val="28"/>
                <w:szCs w:val="32"/>
              </w:rPr>
              <w:t>87863566</w:t>
            </w:r>
            <w:r w:rsidR="00527B77" w:rsidRPr="00786B66">
              <w:rPr>
                <w:rFonts w:ascii="仿宋_GB2312" w:eastAsia="仿宋_GB2312" w:hint="eastAsia"/>
                <w:color w:val="000000"/>
                <w:sz w:val="28"/>
                <w:szCs w:val="32"/>
              </w:rPr>
              <w:t>；</w:t>
            </w:r>
          </w:p>
          <w:p w:rsidR="005902A6" w:rsidRPr="00786B66" w:rsidRDefault="00527B77" w:rsidP="00A72DB6">
            <w:pPr>
              <w:pStyle w:val="a9"/>
              <w:widowControl w:val="0"/>
              <w:spacing w:before="0" w:beforeAutospacing="0" w:after="0" w:afterAutospacing="0" w:line="300" w:lineRule="auto"/>
              <w:ind w:firstLineChars="200" w:firstLine="560"/>
              <w:jc w:val="both"/>
              <w:rPr>
                <w:rFonts w:ascii="仿宋_GB2312" w:eastAsia="仿宋_GB2312"/>
                <w:color w:val="000000"/>
                <w:sz w:val="28"/>
                <w:szCs w:val="32"/>
              </w:rPr>
            </w:pPr>
            <w:r w:rsidRPr="00786B66">
              <w:rPr>
                <w:rFonts w:ascii="仿宋_GB2312" w:eastAsia="仿宋_GB2312" w:hint="eastAsia"/>
                <w:color w:val="000000"/>
                <w:sz w:val="28"/>
                <w:szCs w:val="32"/>
              </w:rPr>
              <w:t>由湖北省生态环境科学研究院生态环境损害司法鉴定中心（污染损害评估与环境健康风险防控湖北省重点实验室）和</w:t>
            </w:r>
            <w:r w:rsidR="00E91358" w:rsidRPr="00786B66">
              <w:rPr>
                <w:rFonts w:ascii="仿宋_GB2312" w:eastAsia="仿宋_GB2312" w:hint="eastAsia"/>
                <w:color w:val="000000"/>
                <w:sz w:val="28"/>
                <w:szCs w:val="32"/>
              </w:rPr>
              <w:t>华中科技大学环境科学与工程学院</w:t>
            </w:r>
            <w:r w:rsidRPr="00786B66">
              <w:rPr>
                <w:rFonts w:ascii="仿宋_GB2312" w:eastAsia="仿宋_GB2312" w:hint="eastAsia"/>
                <w:color w:val="000000"/>
                <w:sz w:val="28"/>
                <w:szCs w:val="32"/>
              </w:rPr>
              <w:t>相关技术人员组成标准编制组。</w:t>
            </w:r>
          </w:p>
        </w:tc>
      </w:tr>
    </w:tbl>
    <w:p w:rsidR="005902A6" w:rsidRPr="00734286" w:rsidRDefault="00527B77">
      <w:pPr>
        <w:adjustRightInd w:val="0"/>
        <w:snapToGrid w:val="0"/>
        <w:spacing w:line="400" w:lineRule="exact"/>
        <w:rPr>
          <w:rFonts w:ascii="仿宋_GB2312" w:eastAsia="仿宋_GB2312"/>
          <w:color w:val="000000"/>
          <w:sz w:val="28"/>
          <w:szCs w:val="28"/>
        </w:rPr>
      </w:pPr>
      <w:r w:rsidRPr="00A217ED">
        <w:rPr>
          <w:rFonts w:ascii="仿宋_GB2312" w:eastAsia="仿宋_GB2312" w:hint="eastAsia"/>
          <w:color w:val="000000"/>
          <w:sz w:val="28"/>
          <w:szCs w:val="28"/>
        </w:rPr>
        <w:t>注：</w:t>
      </w:r>
      <w:r w:rsidRPr="00734286">
        <w:rPr>
          <w:rFonts w:ascii="仿宋_GB2312" w:eastAsia="仿宋_GB2312" w:hint="eastAsia"/>
          <w:color w:val="000000"/>
          <w:sz w:val="28"/>
          <w:szCs w:val="28"/>
        </w:rPr>
        <w:t>此表可根据内容多少调整格式，填写时删除斜体的填写说明。</w:t>
      </w:r>
    </w:p>
    <w:p w:rsidR="005902A6" w:rsidRDefault="005902A6"/>
    <w:sectPr w:rsidR="005902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38" w:rsidRDefault="00BF7538" w:rsidP="00786B66">
      <w:r>
        <w:separator/>
      </w:r>
    </w:p>
  </w:endnote>
  <w:endnote w:type="continuationSeparator" w:id="0">
    <w:p w:rsidR="00BF7538" w:rsidRDefault="00BF7538" w:rsidP="0078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38" w:rsidRDefault="00BF7538" w:rsidP="00786B66">
      <w:r>
        <w:separator/>
      </w:r>
    </w:p>
  </w:footnote>
  <w:footnote w:type="continuationSeparator" w:id="0">
    <w:p w:rsidR="00BF7538" w:rsidRDefault="00BF7538" w:rsidP="0078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F39B"/>
    <w:multiLevelType w:val="multilevel"/>
    <w:tmpl w:val="2034F39B"/>
    <w:lvl w:ilvl="0">
      <w:start w:val="1"/>
      <w:numFmt w:val="decimal"/>
      <w:pStyle w:val="1"/>
      <w:lvlText w:val="%1"/>
      <w:lvlJc w:val="left"/>
      <w:pPr>
        <w:ind w:left="432" w:hanging="432"/>
      </w:pPr>
      <w:rPr>
        <w:rFonts w:ascii="宋体" w:eastAsia="宋体" w:hAnsi="宋体" w:cs="宋体" w:hint="default"/>
      </w:rPr>
    </w:lvl>
    <w:lvl w:ilvl="1">
      <w:start w:val="1"/>
      <w:numFmt w:val="decimal"/>
      <w:pStyle w:val="2"/>
      <w:lvlText w:val="%1.%2"/>
      <w:lvlJc w:val="left"/>
      <w:pPr>
        <w:ind w:left="575" w:hanging="575"/>
      </w:pPr>
      <w:rPr>
        <w:rFonts w:ascii="宋体" w:eastAsia="宋体" w:hAnsi="宋体" w:cs="宋体" w:hint="default"/>
      </w:rPr>
    </w:lvl>
    <w:lvl w:ilvl="2">
      <w:start w:val="1"/>
      <w:numFmt w:val="decimal"/>
      <w:pStyle w:val="3"/>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ascii="宋体" w:eastAsia="宋体" w:hAnsi="宋体" w:cs="宋体"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ZDM3OTczODhhNzYyYjc0NTAzM2U0MmY4N2I5OTYifQ=="/>
  </w:docVars>
  <w:rsids>
    <w:rsidRoot w:val="00DB559E"/>
    <w:rsid w:val="000221F2"/>
    <w:rsid w:val="000A2C4D"/>
    <w:rsid w:val="000C6D8C"/>
    <w:rsid w:val="00133E12"/>
    <w:rsid w:val="001520A4"/>
    <w:rsid w:val="001575B4"/>
    <w:rsid w:val="00173B7B"/>
    <w:rsid w:val="001B3747"/>
    <w:rsid w:val="001C513C"/>
    <w:rsid w:val="001E5B39"/>
    <w:rsid w:val="00291E46"/>
    <w:rsid w:val="002926B9"/>
    <w:rsid w:val="002A171D"/>
    <w:rsid w:val="002B2492"/>
    <w:rsid w:val="00332D17"/>
    <w:rsid w:val="00334231"/>
    <w:rsid w:val="003A2315"/>
    <w:rsid w:val="003C21A5"/>
    <w:rsid w:val="003D0A99"/>
    <w:rsid w:val="003E5512"/>
    <w:rsid w:val="003F12A6"/>
    <w:rsid w:val="004151E3"/>
    <w:rsid w:val="00435DA4"/>
    <w:rsid w:val="00447F14"/>
    <w:rsid w:val="004B7EDC"/>
    <w:rsid w:val="004D56B8"/>
    <w:rsid w:val="004F3E37"/>
    <w:rsid w:val="00527B77"/>
    <w:rsid w:val="0056530B"/>
    <w:rsid w:val="00566045"/>
    <w:rsid w:val="005902A6"/>
    <w:rsid w:val="005B17E7"/>
    <w:rsid w:val="006113B7"/>
    <w:rsid w:val="00637673"/>
    <w:rsid w:val="006749DC"/>
    <w:rsid w:val="006F21E2"/>
    <w:rsid w:val="007009CA"/>
    <w:rsid w:val="007241AA"/>
    <w:rsid w:val="00734286"/>
    <w:rsid w:val="00766310"/>
    <w:rsid w:val="00786B66"/>
    <w:rsid w:val="007A2BE6"/>
    <w:rsid w:val="007E019E"/>
    <w:rsid w:val="0080227E"/>
    <w:rsid w:val="00807C88"/>
    <w:rsid w:val="00830C5C"/>
    <w:rsid w:val="00841668"/>
    <w:rsid w:val="0085119C"/>
    <w:rsid w:val="00863983"/>
    <w:rsid w:val="008A4E8E"/>
    <w:rsid w:val="008D0F05"/>
    <w:rsid w:val="008F535F"/>
    <w:rsid w:val="00916945"/>
    <w:rsid w:val="009578FE"/>
    <w:rsid w:val="00960E20"/>
    <w:rsid w:val="00977F73"/>
    <w:rsid w:val="009B6B8E"/>
    <w:rsid w:val="009B73AB"/>
    <w:rsid w:val="00A1725D"/>
    <w:rsid w:val="00A20546"/>
    <w:rsid w:val="00A217ED"/>
    <w:rsid w:val="00A72DB6"/>
    <w:rsid w:val="00AE43E6"/>
    <w:rsid w:val="00B531A4"/>
    <w:rsid w:val="00B6799F"/>
    <w:rsid w:val="00BA4EF2"/>
    <w:rsid w:val="00BF7538"/>
    <w:rsid w:val="00C12C39"/>
    <w:rsid w:val="00C56F00"/>
    <w:rsid w:val="00C83677"/>
    <w:rsid w:val="00C95D54"/>
    <w:rsid w:val="00CD7168"/>
    <w:rsid w:val="00CE7E45"/>
    <w:rsid w:val="00D1007E"/>
    <w:rsid w:val="00D37E7B"/>
    <w:rsid w:val="00DB559E"/>
    <w:rsid w:val="00DC747C"/>
    <w:rsid w:val="00E32C5D"/>
    <w:rsid w:val="00E91358"/>
    <w:rsid w:val="00EF3258"/>
    <w:rsid w:val="00F12979"/>
    <w:rsid w:val="012D49B2"/>
    <w:rsid w:val="041565A5"/>
    <w:rsid w:val="050B107D"/>
    <w:rsid w:val="05DF74B8"/>
    <w:rsid w:val="11A1528B"/>
    <w:rsid w:val="14F063FA"/>
    <w:rsid w:val="19730C35"/>
    <w:rsid w:val="19CF7926"/>
    <w:rsid w:val="25FF2640"/>
    <w:rsid w:val="272906CA"/>
    <w:rsid w:val="2CE009B6"/>
    <w:rsid w:val="2F4542B2"/>
    <w:rsid w:val="30925879"/>
    <w:rsid w:val="31243F9B"/>
    <w:rsid w:val="33674AFE"/>
    <w:rsid w:val="37633B64"/>
    <w:rsid w:val="3A994663"/>
    <w:rsid w:val="3D2569BC"/>
    <w:rsid w:val="3DCA6B7A"/>
    <w:rsid w:val="441671B7"/>
    <w:rsid w:val="49B225C4"/>
    <w:rsid w:val="4D0934CF"/>
    <w:rsid w:val="4D737EB8"/>
    <w:rsid w:val="4DD019DF"/>
    <w:rsid w:val="52234EC6"/>
    <w:rsid w:val="543A097A"/>
    <w:rsid w:val="55E42883"/>
    <w:rsid w:val="57AC5AAA"/>
    <w:rsid w:val="75FF15C0"/>
    <w:rsid w:val="7C0E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E7BCB"/>
  <w15:docId w15:val="{39359309-628A-47DF-87AA-4D5E6D2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next w:val="a"/>
    <w:qFormat/>
    <w:pPr>
      <w:keepNext/>
      <w:keepLines/>
      <w:numPr>
        <w:numId w:val="1"/>
      </w:numPr>
      <w:spacing w:before="260" w:after="260" w:line="360" w:lineRule="auto"/>
      <w:outlineLvl w:val="0"/>
    </w:pPr>
    <w:rPr>
      <w:rFonts w:ascii="Calibri" w:hAnsi="Calibri" w:cstheme="minorBidi"/>
      <w:b/>
      <w:kern w:val="44"/>
      <w:sz w:val="28"/>
    </w:rPr>
  </w:style>
  <w:style w:type="paragraph" w:styleId="2">
    <w:name w:val="heading 2"/>
    <w:next w:val="a"/>
    <w:link w:val="20"/>
    <w:semiHidden/>
    <w:unhideWhenUsed/>
    <w:qFormat/>
    <w:pPr>
      <w:keepNext/>
      <w:keepLines/>
      <w:numPr>
        <w:ilvl w:val="1"/>
        <w:numId w:val="1"/>
      </w:numPr>
      <w:spacing w:beforeLines="50" w:before="50" w:afterLines="50" w:after="50" w:line="560" w:lineRule="exact"/>
      <w:ind w:left="0" w:firstLine="0"/>
      <w:jc w:val="both"/>
      <w:outlineLvl w:val="1"/>
    </w:pPr>
    <w:rPr>
      <w:rFonts w:ascii="Calibri" w:eastAsia="楷体" w:hAnsi="Calibri" w:cstheme="minorBidi"/>
      <w:b/>
      <w:sz w:val="32"/>
    </w:rPr>
  </w:style>
  <w:style w:type="paragraph" w:styleId="3">
    <w:name w:val="heading 3"/>
    <w:next w:val="a"/>
    <w:semiHidden/>
    <w:unhideWhenUsed/>
    <w:qFormat/>
    <w:pPr>
      <w:keepNext/>
      <w:keepLines/>
      <w:numPr>
        <w:ilvl w:val="2"/>
        <w:numId w:val="1"/>
      </w:numPr>
      <w:spacing w:line="360" w:lineRule="auto"/>
      <w:outlineLvl w:val="2"/>
    </w:pPr>
    <w:rPr>
      <w:rFonts w:eastAsia="楷体" w:cstheme="minorBidi"/>
      <w:sz w:val="24"/>
    </w:rPr>
  </w:style>
  <w:style w:type="paragraph" w:styleId="4">
    <w:name w:val="heading 4"/>
    <w:basedOn w:val="a"/>
    <w:next w:val="a"/>
    <w:semiHidden/>
    <w:unhideWhenUsed/>
    <w:qFormat/>
    <w:pPr>
      <w:keepNext/>
      <w:keepLines/>
      <w:numPr>
        <w:ilvl w:val="3"/>
        <w:numId w:val="1"/>
      </w:numPr>
      <w:jc w:val="left"/>
      <w:outlineLvl w:val="3"/>
    </w:pPr>
    <w:rPr>
      <w:b/>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customStyle="1" w:styleId="aa">
    <w:name w:val="图表名称"/>
    <w:next w:val="a"/>
    <w:qFormat/>
    <w:pPr>
      <w:jc w:val="center"/>
    </w:pPr>
    <w:rPr>
      <w:rFonts w:eastAsia="黑体" w:cstheme="minorBidi"/>
      <w:sz w:val="21"/>
    </w:rPr>
  </w:style>
  <w:style w:type="paragraph" w:customStyle="1" w:styleId="ab">
    <w:name w:val="表格文字"/>
    <w:qFormat/>
    <w:pPr>
      <w:jc w:val="center"/>
    </w:pPr>
    <w:rPr>
      <w:rFonts w:ascii="Calibri" w:eastAsia="仿宋" w:hAnsi="Calibri" w:cstheme="minorBidi"/>
      <w:sz w:val="21"/>
    </w:rPr>
  </w:style>
  <w:style w:type="character" w:customStyle="1" w:styleId="20">
    <w:name w:val="标题 2 字符"/>
    <w:link w:val="2"/>
    <w:qFormat/>
    <w:rPr>
      <w:rFonts w:ascii="Calibri" w:eastAsia="楷体" w:hAnsi="Calibri"/>
      <w:b/>
      <w:sz w:val="32"/>
    </w:rPr>
  </w:style>
  <w:style w:type="character" w:customStyle="1" w:styleId="a8">
    <w:name w:val="页眉 字符"/>
    <w:basedOn w:val="a0"/>
    <w:link w:val="a7"/>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12CF-FFD3-4539-A567-09A864A5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cp:lastModifiedBy>
  <cp:revision>53</cp:revision>
  <dcterms:created xsi:type="dcterms:W3CDTF">2020-09-16T01:31:00Z</dcterms:created>
  <dcterms:modified xsi:type="dcterms:W3CDTF">2024-02-28T07:10:00Z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CBA021B59B9F441783DAE6CFFF4616ED_13</vt:lpwstr>
  </property>
</Properties>
</file>