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0F" w:rsidRDefault="003C210F" w:rsidP="003C210F">
      <w:pPr>
        <w:jc w:val="left"/>
        <w:outlineLvl w:val="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表7：</w:t>
      </w:r>
    </w:p>
    <w:p w:rsidR="003C210F" w:rsidRDefault="003C210F" w:rsidP="003C210F">
      <w:pPr>
        <w:adjustRightInd w:val="0"/>
        <w:snapToGrid w:val="0"/>
        <w:spacing w:line="560" w:lineRule="exact"/>
        <w:jc w:val="center"/>
        <w:outlineLvl w:val="0"/>
        <w:rPr>
          <w:rFonts w:ascii="方正小标宋简体" w:eastAsia="方正小标宋简体"/>
          <w:color w:val="000000"/>
          <w:sz w:val="44"/>
          <w:szCs w:val="44"/>
        </w:rPr>
      </w:pPr>
      <w:r>
        <w:rPr>
          <w:rFonts w:ascii="方正小标宋简体" w:eastAsia="方正小标宋简体" w:hint="eastAsia"/>
          <w:color w:val="000000"/>
          <w:sz w:val="44"/>
          <w:szCs w:val="44"/>
        </w:rPr>
        <w:t>湖北省地方标准编制说明</w:t>
      </w:r>
    </w:p>
    <w:p w:rsidR="003C210F" w:rsidRDefault="003C210F" w:rsidP="003C210F">
      <w:pPr>
        <w:adjustRightInd w:val="0"/>
        <w:snapToGrid w:val="0"/>
        <w:spacing w:line="300" w:lineRule="exact"/>
        <w:jc w:val="right"/>
        <w:rPr>
          <w:rFonts w:ascii="方正小标宋简体" w:eastAsia="方正小标宋简体"/>
          <w:color w:val="000000"/>
          <w:sz w:val="44"/>
          <w:szCs w:val="44"/>
        </w:rPr>
      </w:pPr>
    </w:p>
    <w:p w:rsidR="003C210F" w:rsidRDefault="00182BF5" w:rsidP="003C210F">
      <w:pPr>
        <w:adjustRightInd w:val="0"/>
        <w:snapToGrid w:val="0"/>
        <w:spacing w:line="560" w:lineRule="exact"/>
        <w:jc w:val="right"/>
        <w:rPr>
          <w:rFonts w:ascii="方正仿宋_GBK" w:eastAsia="方正仿宋_GBK" w:hAnsi="宋体"/>
          <w:color w:val="000000"/>
          <w:sz w:val="32"/>
          <w:szCs w:val="32"/>
        </w:rPr>
      </w:pPr>
      <w:r>
        <w:rPr>
          <w:rFonts w:ascii="方正仿宋_GBK" w:eastAsia="方正仿宋_GBK" w:hAnsi="宋体" w:hint="eastAsia"/>
          <w:color w:val="000000"/>
          <w:sz w:val="32"/>
          <w:szCs w:val="32"/>
        </w:rPr>
        <w:t>2</w:t>
      </w:r>
      <w:r>
        <w:rPr>
          <w:rFonts w:ascii="方正仿宋_GBK" w:eastAsia="方正仿宋_GBK" w:hAnsi="宋体"/>
          <w:color w:val="000000"/>
          <w:sz w:val="32"/>
          <w:szCs w:val="32"/>
        </w:rPr>
        <w:t>024</w:t>
      </w:r>
      <w:r w:rsidR="003C210F">
        <w:rPr>
          <w:rFonts w:ascii="方正仿宋_GBK" w:eastAsia="方正仿宋_GBK" w:hAnsi="宋体" w:hint="eastAsia"/>
          <w:color w:val="000000"/>
          <w:sz w:val="32"/>
          <w:szCs w:val="32"/>
        </w:rPr>
        <w:t>年</w:t>
      </w:r>
      <w:r>
        <w:rPr>
          <w:rFonts w:ascii="方正仿宋_GBK" w:eastAsia="方正仿宋_GBK" w:hAnsi="宋体"/>
          <w:color w:val="000000"/>
          <w:sz w:val="32"/>
          <w:szCs w:val="32"/>
        </w:rPr>
        <w:t>12</w:t>
      </w:r>
      <w:r w:rsidR="003C210F">
        <w:rPr>
          <w:rFonts w:ascii="方正仿宋_GBK" w:eastAsia="方正仿宋_GBK" w:hAnsi="宋体" w:hint="eastAsia"/>
          <w:color w:val="000000"/>
          <w:sz w:val="32"/>
          <w:szCs w:val="32"/>
        </w:rPr>
        <w:t>月</w:t>
      </w:r>
      <w:r>
        <w:rPr>
          <w:rFonts w:ascii="方正仿宋_GBK" w:eastAsia="方正仿宋_GBK" w:hAnsi="宋体"/>
          <w:color w:val="000000"/>
          <w:sz w:val="32"/>
          <w:szCs w:val="32"/>
        </w:rPr>
        <w:t>16</w:t>
      </w:r>
      <w:r w:rsidR="003C210F">
        <w:rPr>
          <w:rFonts w:ascii="方正仿宋_GBK" w:eastAsia="方正仿宋_GBK" w:hAnsi="宋体" w:hint="eastAsia"/>
          <w:color w:val="000000"/>
          <w:sz w:val="32"/>
          <w:szCs w:val="32"/>
        </w:rPr>
        <w:t xml:space="preserve">日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2494"/>
        <w:gridCol w:w="1337"/>
        <w:gridCol w:w="2449"/>
      </w:tblGrid>
      <w:tr w:rsidR="003C210F" w:rsidTr="00DA1DFC">
        <w:trPr>
          <w:trHeight w:val="822"/>
          <w:jc w:val="center"/>
        </w:trPr>
        <w:tc>
          <w:tcPr>
            <w:tcW w:w="1215" w:type="pct"/>
            <w:vAlign w:val="center"/>
          </w:tcPr>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标准名称</w:t>
            </w:r>
          </w:p>
        </w:tc>
        <w:tc>
          <w:tcPr>
            <w:tcW w:w="3784" w:type="pct"/>
            <w:gridSpan w:val="3"/>
            <w:vAlign w:val="center"/>
          </w:tcPr>
          <w:p w:rsidR="003C210F" w:rsidRDefault="00D543B9" w:rsidP="00DA1DFC">
            <w:pPr>
              <w:adjustRightInd w:val="0"/>
              <w:snapToGrid w:val="0"/>
              <w:spacing w:line="360" w:lineRule="exact"/>
              <w:rPr>
                <w:rFonts w:ascii="方正仿宋_GBK" w:eastAsia="方正仿宋_GBK" w:hAnsi="宋体"/>
                <w:color w:val="000000"/>
                <w:sz w:val="28"/>
                <w:szCs w:val="32"/>
              </w:rPr>
            </w:pPr>
            <w:r w:rsidRPr="00D543B9">
              <w:rPr>
                <w:rFonts w:ascii="方正仿宋_GBK" w:eastAsia="方正仿宋_GBK" w:hAnsi="宋体" w:hint="eastAsia"/>
                <w:color w:val="000000"/>
                <w:sz w:val="28"/>
                <w:szCs w:val="32"/>
              </w:rPr>
              <w:t>生态环境损害鉴定技术指南 第8部分：噪声环境</w:t>
            </w:r>
          </w:p>
        </w:tc>
      </w:tr>
      <w:tr w:rsidR="003C210F" w:rsidTr="00DA1DFC">
        <w:trPr>
          <w:trHeight w:val="20"/>
          <w:jc w:val="center"/>
        </w:trPr>
        <w:tc>
          <w:tcPr>
            <w:tcW w:w="1215" w:type="pct"/>
            <w:vAlign w:val="center"/>
          </w:tcPr>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被修订或整合</w:t>
            </w:r>
          </w:p>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标准名称</w:t>
            </w:r>
          </w:p>
        </w:tc>
        <w:tc>
          <w:tcPr>
            <w:tcW w:w="1503" w:type="pct"/>
            <w:vAlign w:val="center"/>
          </w:tcPr>
          <w:p w:rsidR="003C210F" w:rsidRDefault="003C210F" w:rsidP="00DA1DFC">
            <w:pPr>
              <w:adjustRightInd w:val="0"/>
              <w:snapToGrid w:val="0"/>
              <w:spacing w:line="360" w:lineRule="exact"/>
              <w:rPr>
                <w:rFonts w:ascii="方正仿宋_GBK" w:eastAsia="方正仿宋_GBK" w:hAnsi="宋体"/>
                <w:color w:val="000000"/>
                <w:sz w:val="28"/>
                <w:szCs w:val="32"/>
              </w:rPr>
            </w:pPr>
          </w:p>
        </w:tc>
        <w:tc>
          <w:tcPr>
            <w:tcW w:w="806" w:type="pct"/>
            <w:vAlign w:val="center"/>
          </w:tcPr>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被代替</w:t>
            </w:r>
          </w:p>
          <w:p w:rsidR="003C210F" w:rsidRDefault="003C210F" w:rsidP="00DA1DFC">
            <w:pPr>
              <w:adjustRightInd w:val="0"/>
              <w:snapToGrid w:val="0"/>
              <w:spacing w:line="360" w:lineRule="exact"/>
              <w:rPr>
                <w:rFonts w:ascii="方正仿宋_GBK" w:eastAsia="方正仿宋_GBK" w:hAnsi="宋体"/>
                <w:color w:val="000000"/>
                <w:sz w:val="28"/>
                <w:szCs w:val="32"/>
              </w:rPr>
            </w:pPr>
            <w:r>
              <w:rPr>
                <w:rFonts w:ascii="方正仿宋_GBK" w:eastAsia="方正仿宋_GBK" w:hint="eastAsia"/>
                <w:color w:val="000000"/>
                <w:sz w:val="28"/>
                <w:szCs w:val="32"/>
              </w:rPr>
              <w:t>标准编号</w:t>
            </w:r>
          </w:p>
        </w:tc>
        <w:tc>
          <w:tcPr>
            <w:tcW w:w="1475" w:type="pct"/>
            <w:vAlign w:val="center"/>
          </w:tcPr>
          <w:p w:rsidR="003C210F" w:rsidRDefault="003C210F" w:rsidP="00DA1DFC">
            <w:pPr>
              <w:adjustRightInd w:val="0"/>
              <w:snapToGrid w:val="0"/>
              <w:spacing w:line="360" w:lineRule="exact"/>
              <w:rPr>
                <w:rFonts w:ascii="方正仿宋_GBK" w:eastAsia="方正仿宋_GBK" w:hAnsi="宋体"/>
                <w:color w:val="000000"/>
                <w:sz w:val="28"/>
                <w:szCs w:val="32"/>
              </w:rPr>
            </w:pPr>
          </w:p>
        </w:tc>
      </w:tr>
      <w:tr w:rsidR="003C210F" w:rsidTr="00DA1DFC">
        <w:trPr>
          <w:trHeight w:val="2343"/>
          <w:jc w:val="center"/>
        </w:trPr>
        <w:tc>
          <w:tcPr>
            <w:tcW w:w="1215" w:type="pct"/>
            <w:vAlign w:val="center"/>
          </w:tcPr>
          <w:p w:rsidR="003C210F" w:rsidRPr="007834D1" w:rsidRDefault="003C210F" w:rsidP="00DA1DFC">
            <w:pPr>
              <w:adjustRightInd w:val="0"/>
              <w:snapToGrid w:val="0"/>
              <w:spacing w:line="360" w:lineRule="exact"/>
              <w:jc w:val="distribute"/>
              <w:rPr>
                <w:rFonts w:ascii="方正仿宋_GBK" w:eastAsia="方正仿宋_GBK"/>
                <w:color w:val="000000"/>
                <w:sz w:val="28"/>
                <w:szCs w:val="32"/>
              </w:rPr>
            </w:pPr>
            <w:r w:rsidRPr="007834D1">
              <w:rPr>
                <w:rFonts w:ascii="方正仿宋_GBK" w:eastAsia="方正仿宋_GBK" w:hint="eastAsia"/>
                <w:color w:val="000000"/>
                <w:sz w:val="28"/>
                <w:szCs w:val="32"/>
              </w:rPr>
              <w:t>起草单位</w:t>
            </w:r>
          </w:p>
          <w:p w:rsidR="003C210F" w:rsidRPr="007834D1" w:rsidRDefault="003C210F" w:rsidP="00DA1DFC">
            <w:pPr>
              <w:adjustRightInd w:val="0"/>
              <w:snapToGrid w:val="0"/>
              <w:spacing w:line="360" w:lineRule="exact"/>
              <w:jc w:val="distribute"/>
              <w:rPr>
                <w:rFonts w:ascii="方正仿宋_GBK" w:eastAsia="方正仿宋_GBK"/>
                <w:color w:val="000000"/>
                <w:sz w:val="28"/>
                <w:szCs w:val="32"/>
              </w:rPr>
            </w:pPr>
            <w:r w:rsidRPr="007834D1">
              <w:rPr>
                <w:rFonts w:ascii="方正仿宋_GBK" w:eastAsia="方正仿宋_GBK" w:hAnsi="宋体" w:hint="eastAsia"/>
                <w:color w:val="000000"/>
                <w:sz w:val="28"/>
                <w:szCs w:val="32"/>
              </w:rPr>
              <w:t>（盖章）</w:t>
            </w:r>
          </w:p>
        </w:tc>
        <w:tc>
          <w:tcPr>
            <w:tcW w:w="3784" w:type="pct"/>
            <w:gridSpan w:val="3"/>
            <w:vAlign w:val="center"/>
          </w:tcPr>
          <w:p w:rsidR="003C210F" w:rsidRPr="007834D1" w:rsidRDefault="003C210F" w:rsidP="00DA1DFC">
            <w:pPr>
              <w:adjustRightInd w:val="0"/>
              <w:snapToGrid w:val="0"/>
              <w:spacing w:line="360" w:lineRule="exact"/>
              <w:rPr>
                <w:rFonts w:ascii="方正仿宋_GBK" w:eastAsia="方正仿宋_GBK"/>
                <w:iCs/>
                <w:color w:val="000000"/>
                <w:sz w:val="28"/>
                <w:szCs w:val="32"/>
              </w:rPr>
            </w:pPr>
            <w:r w:rsidRPr="007834D1">
              <w:rPr>
                <w:rFonts w:ascii="方正仿宋_GBK" w:eastAsia="方正仿宋_GBK" w:hint="eastAsia"/>
                <w:iCs/>
                <w:color w:val="000000"/>
                <w:sz w:val="28"/>
                <w:szCs w:val="32"/>
              </w:rPr>
              <w:t>湖北省生态环境科学研究院生态环境损害司法鉴定中心（污染损害评估与环境健康风险防控湖北省重点实验室）</w:t>
            </w:r>
          </w:p>
          <w:p w:rsidR="003C210F" w:rsidRPr="007834D1" w:rsidRDefault="00D543B9" w:rsidP="00DA1DFC">
            <w:pPr>
              <w:adjustRightInd w:val="0"/>
              <w:snapToGrid w:val="0"/>
              <w:spacing w:line="360" w:lineRule="exact"/>
              <w:rPr>
                <w:rFonts w:ascii="方正仿宋_GBK" w:eastAsia="方正仿宋_GBK"/>
                <w:color w:val="000000"/>
                <w:sz w:val="28"/>
                <w:szCs w:val="32"/>
              </w:rPr>
            </w:pPr>
            <w:r w:rsidRPr="00D543B9">
              <w:rPr>
                <w:rFonts w:ascii="方正仿宋_GBK" w:eastAsia="方正仿宋_GBK" w:hint="eastAsia"/>
                <w:color w:val="000000"/>
                <w:sz w:val="28"/>
                <w:szCs w:val="32"/>
              </w:rPr>
              <w:t>武汉理工大学</w:t>
            </w:r>
          </w:p>
        </w:tc>
      </w:tr>
      <w:tr w:rsidR="003C210F" w:rsidTr="00DA1DFC">
        <w:trPr>
          <w:trHeight w:val="20"/>
          <w:jc w:val="center"/>
        </w:trPr>
        <w:tc>
          <w:tcPr>
            <w:tcW w:w="5000" w:type="pct"/>
            <w:gridSpan w:val="4"/>
          </w:tcPr>
          <w:p w:rsidR="003C210F" w:rsidRPr="007834D1" w:rsidRDefault="003C210F" w:rsidP="00DA1DFC">
            <w:pPr>
              <w:adjustRightInd w:val="0"/>
              <w:snapToGrid w:val="0"/>
              <w:spacing w:line="360" w:lineRule="exact"/>
              <w:rPr>
                <w:rFonts w:ascii="方正仿宋_GBK" w:eastAsia="方正仿宋_GBK" w:hAnsi="宋体"/>
                <w:color w:val="000000"/>
                <w:sz w:val="28"/>
                <w:szCs w:val="32"/>
              </w:rPr>
            </w:pPr>
            <w:r w:rsidRPr="007834D1">
              <w:rPr>
                <w:rFonts w:ascii="方正仿宋_GBK" w:eastAsia="方正仿宋_GBK" w:hAnsi="宋体" w:hint="eastAsia"/>
                <w:color w:val="000000"/>
                <w:sz w:val="28"/>
                <w:szCs w:val="32"/>
              </w:rPr>
              <w:t>1.项目简介：</w:t>
            </w:r>
          </w:p>
          <w:p w:rsidR="00D543B9" w:rsidRPr="00D543B9" w:rsidRDefault="00D543B9" w:rsidP="00D543B9">
            <w:pPr>
              <w:spacing w:line="360" w:lineRule="exact"/>
              <w:ind w:firstLineChars="200" w:firstLine="560"/>
              <w:rPr>
                <w:rFonts w:ascii="方正仿宋_GBK" w:eastAsia="方正仿宋_GBK" w:hAnsi="仿宋_GB2312" w:cs="仿宋_GB2312"/>
                <w:sz w:val="28"/>
                <w:szCs w:val="32"/>
              </w:rPr>
            </w:pPr>
            <w:r>
              <w:rPr>
                <w:rFonts w:ascii="方正仿宋_GBK" w:eastAsia="方正仿宋_GBK" w:hAnsi="仿宋_GB2312" w:cs="仿宋_GB2312" w:hint="eastAsia"/>
                <w:sz w:val="28"/>
                <w:szCs w:val="32"/>
              </w:rPr>
              <w:t>（1）</w:t>
            </w:r>
            <w:r w:rsidRPr="00D543B9">
              <w:rPr>
                <w:rFonts w:ascii="方正仿宋_GBK" w:eastAsia="方正仿宋_GBK" w:hAnsi="仿宋_GB2312" w:cs="仿宋_GB2312" w:hint="eastAsia"/>
                <w:sz w:val="28"/>
                <w:szCs w:val="32"/>
              </w:rPr>
              <w:t>范围</w:t>
            </w:r>
          </w:p>
          <w:p w:rsidR="00D543B9" w:rsidRPr="00D543B9" w:rsidRDefault="00D543B9" w:rsidP="00D543B9">
            <w:pPr>
              <w:spacing w:line="360" w:lineRule="exact"/>
              <w:ind w:firstLineChars="200" w:firstLine="560"/>
              <w:rPr>
                <w:rFonts w:ascii="方正仿宋_GBK" w:eastAsia="方正仿宋_GBK" w:hAnsi="仿宋_GB2312" w:cs="仿宋_GB2312"/>
                <w:sz w:val="28"/>
                <w:szCs w:val="32"/>
              </w:rPr>
            </w:pPr>
            <w:r w:rsidRPr="00D543B9">
              <w:rPr>
                <w:rFonts w:ascii="方正仿宋_GBK" w:eastAsia="方正仿宋_GBK" w:hAnsi="仿宋_GB2312" w:cs="仿宋_GB2312" w:hint="eastAsia"/>
                <w:sz w:val="28"/>
                <w:szCs w:val="32"/>
              </w:rPr>
              <w:t>本标准规定了涉及声环境的损害鉴定评估的内容、工作程序、方法和技术要求，以及因环境噪声污染的损害鉴定评估。</w:t>
            </w:r>
          </w:p>
          <w:p w:rsidR="00D543B9" w:rsidRPr="00D543B9" w:rsidRDefault="00D543B9" w:rsidP="00D543B9">
            <w:pPr>
              <w:spacing w:line="360" w:lineRule="exact"/>
              <w:ind w:firstLineChars="200" w:firstLine="560"/>
              <w:rPr>
                <w:rFonts w:ascii="方正仿宋_GBK" w:eastAsia="方正仿宋_GBK" w:hAnsi="仿宋_GB2312" w:cs="仿宋_GB2312"/>
                <w:sz w:val="28"/>
                <w:szCs w:val="32"/>
              </w:rPr>
            </w:pPr>
            <w:r>
              <w:rPr>
                <w:rFonts w:ascii="方正仿宋_GBK" w:eastAsia="方正仿宋_GBK" w:hAnsi="仿宋_GB2312" w:cs="仿宋_GB2312" w:hint="eastAsia"/>
                <w:sz w:val="28"/>
                <w:szCs w:val="32"/>
              </w:rPr>
              <w:t>（2）</w:t>
            </w:r>
            <w:r w:rsidRPr="00D543B9">
              <w:rPr>
                <w:rFonts w:ascii="方正仿宋_GBK" w:eastAsia="方正仿宋_GBK" w:hAnsi="仿宋_GB2312" w:cs="仿宋_GB2312" w:hint="eastAsia"/>
                <w:sz w:val="28"/>
                <w:szCs w:val="32"/>
              </w:rPr>
              <w:t>主要技术内容</w:t>
            </w:r>
          </w:p>
          <w:p w:rsidR="00BF31E2" w:rsidRDefault="00D543B9" w:rsidP="00D543B9">
            <w:pPr>
              <w:spacing w:line="360" w:lineRule="exact"/>
              <w:ind w:firstLineChars="200" w:firstLine="560"/>
              <w:rPr>
                <w:rFonts w:ascii="方正仿宋_GBK" w:eastAsia="方正仿宋_GBK" w:hAnsi="仿宋_GB2312" w:cs="仿宋_GB2312"/>
                <w:sz w:val="28"/>
                <w:szCs w:val="32"/>
              </w:rPr>
            </w:pPr>
            <w:r w:rsidRPr="00D543B9">
              <w:rPr>
                <w:rFonts w:ascii="方正仿宋_GBK" w:eastAsia="方正仿宋_GBK" w:hAnsi="仿宋_GB2312" w:cs="仿宋_GB2312" w:hint="eastAsia"/>
                <w:sz w:val="28"/>
                <w:szCs w:val="32"/>
              </w:rPr>
              <w:t>本标准以噪声环境为研究对象，构建噪声致害案件的全流程的鉴定程序指导，主要包括损害确认、因果关系分析、损害价值量化等部分。其中，损害确认为通过对噪声源的损害行为进行识别，开展其对受体环境的调查评价，通过对受纳环境的噪声现状水平进行监测，并结合环境基线水平以确认损害事实；因果关系识别为在确定受纳环境的噪声污染损害后，进一步识别噪声源排放与受纳环境损害间的因果关系；损害量化主要采</w:t>
            </w:r>
            <w:r>
              <w:rPr>
                <w:rFonts w:ascii="方正仿宋_GBK" w:eastAsia="方正仿宋_GBK" w:hAnsi="仿宋_GB2312" w:cs="仿宋_GB2312" w:hint="eastAsia"/>
                <w:sz w:val="28"/>
                <w:szCs w:val="32"/>
              </w:rPr>
              <w:t>用针对减轻或消除污染以及恢复受损环境的成本费用方法量化损害金额</w:t>
            </w:r>
            <w:r w:rsidR="00BF31E2" w:rsidRPr="00BF31E2">
              <w:rPr>
                <w:rFonts w:ascii="方正仿宋_GBK" w:eastAsia="方正仿宋_GBK" w:hAnsi="仿宋_GB2312" w:cs="仿宋_GB2312" w:hint="eastAsia"/>
                <w:sz w:val="28"/>
                <w:szCs w:val="32"/>
              </w:rPr>
              <w:t>。</w:t>
            </w:r>
          </w:p>
          <w:p w:rsidR="00D543B9" w:rsidRDefault="00D543B9" w:rsidP="00D543B9">
            <w:pPr>
              <w:spacing w:line="360" w:lineRule="exact"/>
              <w:ind w:firstLineChars="200" w:firstLine="560"/>
              <w:rPr>
                <w:rFonts w:ascii="方正仿宋_GBK" w:eastAsia="方正仿宋_GBK" w:hAnsi="仿宋_GB2312" w:cs="仿宋_GB2312"/>
                <w:sz w:val="28"/>
                <w:szCs w:val="32"/>
              </w:rPr>
            </w:pPr>
            <w:r>
              <w:rPr>
                <w:rFonts w:ascii="方正仿宋_GBK" w:eastAsia="方正仿宋_GBK" w:hAnsi="仿宋_GB2312" w:cs="仿宋_GB2312" w:hint="eastAsia"/>
                <w:sz w:val="28"/>
                <w:szCs w:val="32"/>
              </w:rPr>
              <w:t>（3）项目必要性和可行性</w:t>
            </w:r>
          </w:p>
          <w:p w:rsidR="00D543B9" w:rsidRPr="00D543B9" w:rsidRDefault="00D543B9" w:rsidP="00D543B9">
            <w:pPr>
              <w:spacing w:line="360" w:lineRule="exact"/>
              <w:ind w:firstLineChars="200" w:firstLine="560"/>
              <w:rPr>
                <w:rFonts w:ascii="方正仿宋_GBK" w:eastAsia="方正仿宋_GBK" w:hAnsi="仿宋_GB2312" w:cs="仿宋_GB2312"/>
                <w:sz w:val="28"/>
                <w:szCs w:val="32"/>
              </w:rPr>
            </w:pPr>
            <w:r w:rsidRPr="00D543B9">
              <w:rPr>
                <w:rFonts w:ascii="方正仿宋_GBK" w:eastAsia="方正仿宋_GBK" w:hAnsi="仿宋_GB2312" w:cs="仿宋_GB2312" w:hint="eastAsia"/>
                <w:sz w:val="28"/>
                <w:szCs w:val="32"/>
              </w:rPr>
              <w:t>近年来，随着社会的繁荣和人们生活水平的提升，噪声对居住环境的影响问题日益突出。噪音投诉、纠纷和诉讼案件逐渐增多，随着噪声问题的增加，确定噪声损害的方法逐渐引起关注。尽管我国的《环境保护法》将噪声污染列入环境污染的范围，由于噪声有别于传统的有形污染物的排放，导致噪声污染的损害调查及评价标准更为复杂：一是多数测量环境的噪声来源过于复杂，易受到其他噪声干扰测量值；二是测量结果与测点的位置密切相关，技术标准中给出测点区间范围或符合标准的测点不止一个，不同位置的结论</w:t>
            </w:r>
            <w:r w:rsidRPr="00D543B9">
              <w:rPr>
                <w:rFonts w:ascii="方正仿宋_GBK" w:eastAsia="方正仿宋_GBK" w:hAnsi="仿宋_GB2312" w:cs="仿宋_GB2312" w:hint="eastAsia"/>
                <w:sz w:val="28"/>
                <w:szCs w:val="32"/>
              </w:rPr>
              <w:lastRenderedPageBreak/>
              <w:t>可能不一致；三是通常通过噪声排放标准判断噪声排放行为是否侵权，有的各噪声源排放均不超标，但总体环境噪声叠加后超标。</w:t>
            </w:r>
          </w:p>
          <w:p w:rsidR="00D543B9" w:rsidRPr="007834D1" w:rsidRDefault="00D543B9" w:rsidP="00D543B9">
            <w:pPr>
              <w:spacing w:line="360" w:lineRule="exact"/>
              <w:ind w:firstLineChars="200" w:firstLine="560"/>
              <w:rPr>
                <w:rFonts w:ascii="方正仿宋_GBK" w:eastAsia="方正仿宋_GBK" w:hAnsi="仿宋_GB2312" w:cs="仿宋_GB2312"/>
                <w:sz w:val="28"/>
                <w:szCs w:val="32"/>
              </w:rPr>
            </w:pPr>
            <w:r w:rsidRPr="00D543B9">
              <w:rPr>
                <w:rFonts w:ascii="方正仿宋_GBK" w:eastAsia="方正仿宋_GBK" w:hAnsi="仿宋_GB2312" w:cs="仿宋_GB2312" w:hint="eastAsia"/>
                <w:sz w:val="28"/>
                <w:szCs w:val="32"/>
              </w:rPr>
              <w:t>基于国家层面生态环境损害标准框架，我院已初步研究构建了适合湖北省情的“1+N”多元化生态环境损害鉴定标准化技术体系。该体系以《湖北省生态环境损害鉴定通用规范》（DB/T42 1905-2022）为总纲领，结合生态环境损害鉴定的环境要素、程序环节、基础方法、损害类型等构成。因此在技术层面，我院具备强大的研究基础，为本标准提供了很好的前期研究成果和实践经验。</w:t>
            </w:r>
          </w:p>
          <w:p w:rsidR="003C210F" w:rsidRPr="007834D1" w:rsidRDefault="003C210F" w:rsidP="00DA1DFC">
            <w:pPr>
              <w:spacing w:line="360" w:lineRule="exact"/>
              <w:rPr>
                <w:rFonts w:ascii="方正仿宋_GBK" w:eastAsia="方正仿宋_GBK" w:hAnsi="仿宋_GB2312" w:cs="仿宋_GB2312"/>
                <w:sz w:val="28"/>
                <w:szCs w:val="32"/>
              </w:rPr>
            </w:pPr>
          </w:p>
        </w:tc>
      </w:tr>
      <w:tr w:rsidR="003C210F" w:rsidTr="00DA1DFC">
        <w:trPr>
          <w:trHeight w:val="20"/>
          <w:jc w:val="center"/>
        </w:trPr>
        <w:tc>
          <w:tcPr>
            <w:tcW w:w="5000" w:type="pct"/>
            <w:gridSpan w:val="4"/>
          </w:tcPr>
          <w:p w:rsidR="003C210F" w:rsidRDefault="003C210F" w:rsidP="00DA1DFC">
            <w:pPr>
              <w:adjustRightInd w:val="0"/>
              <w:snapToGrid w:val="0"/>
              <w:spacing w:line="360" w:lineRule="exact"/>
              <w:rPr>
                <w:rFonts w:ascii="方正仿宋_GBK" w:eastAsia="方正仿宋_GBK"/>
                <w:color w:val="000000"/>
                <w:sz w:val="28"/>
                <w:szCs w:val="32"/>
              </w:rPr>
            </w:pPr>
            <w:r>
              <w:rPr>
                <w:rFonts w:ascii="方正仿宋_GBK" w:eastAsia="方正仿宋_GBK" w:hint="eastAsia"/>
                <w:color w:val="000000"/>
                <w:sz w:val="28"/>
                <w:szCs w:val="32"/>
              </w:rPr>
              <w:lastRenderedPageBreak/>
              <w:t>2.技术路线：</w:t>
            </w:r>
          </w:p>
          <w:p w:rsidR="00BC2AEF" w:rsidRPr="00FA1A5A" w:rsidRDefault="00BC2AEF" w:rsidP="00BC2AEF">
            <w:pPr>
              <w:spacing w:line="360" w:lineRule="exact"/>
              <w:ind w:firstLineChars="200" w:firstLine="560"/>
              <w:rPr>
                <w:rFonts w:ascii="方正仿宋_GBK" w:eastAsia="方正仿宋_GBK" w:hAnsi="宋体"/>
                <w:color w:val="000000"/>
                <w:sz w:val="28"/>
                <w:szCs w:val="32"/>
              </w:rPr>
            </w:pPr>
            <w:r w:rsidRPr="00FA1A5A">
              <w:rPr>
                <w:rFonts w:ascii="方正仿宋_GBK" w:eastAsia="方正仿宋_GBK" w:hAnsi="宋体" w:hint="eastAsia"/>
                <w:color w:val="000000"/>
                <w:sz w:val="28"/>
                <w:szCs w:val="32"/>
              </w:rPr>
              <w:t>（1）收集我国已发布的关于</w:t>
            </w:r>
            <w:r>
              <w:rPr>
                <w:rFonts w:ascii="方正仿宋_GBK" w:eastAsia="方正仿宋_GBK" w:hAnsi="宋体" w:hint="eastAsia"/>
                <w:color w:val="000000"/>
                <w:sz w:val="28"/>
                <w:szCs w:val="32"/>
              </w:rPr>
              <w:t>噪声</w:t>
            </w:r>
            <w:r w:rsidRPr="00FA1A5A">
              <w:rPr>
                <w:rFonts w:ascii="方正仿宋_GBK" w:eastAsia="方正仿宋_GBK" w:hAnsi="宋体" w:hint="eastAsia"/>
                <w:color w:val="000000"/>
                <w:sz w:val="28"/>
                <w:szCs w:val="32"/>
              </w:rPr>
              <w:t>的国家标准、行业标准和地方标准以及生态环境部门和司法部门制定的生态环境损害鉴定评估的相关标准，了解相关标准的适用范围、应用场景和关键技术要点，总结</w:t>
            </w:r>
            <w:r>
              <w:rPr>
                <w:rFonts w:ascii="方正仿宋_GBK" w:eastAsia="方正仿宋_GBK" w:hAnsi="宋体" w:hint="eastAsia"/>
                <w:color w:val="000000"/>
                <w:sz w:val="28"/>
                <w:szCs w:val="32"/>
              </w:rPr>
              <w:t>噪声</w:t>
            </w:r>
            <w:r w:rsidRPr="00FA1A5A">
              <w:rPr>
                <w:rFonts w:ascii="方正仿宋_GBK" w:eastAsia="方正仿宋_GBK" w:hAnsi="宋体" w:hint="eastAsia"/>
                <w:color w:val="000000"/>
                <w:sz w:val="28"/>
                <w:szCs w:val="32"/>
              </w:rPr>
              <w:t>损害鉴定中应关注的内容，基于湖北省</w:t>
            </w:r>
            <w:r>
              <w:rPr>
                <w:rFonts w:ascii="方正仿宋_GBK" w:eastAsia="方正仿宋_GBK" w:hAnsi="宋体" w:hint="eastAsia"/>
                <w:color w:val="000000"/>
                <w:sz w:val="28"/>
                <w:szCs w:val="32"/>
              </w:rPr>
              <w:t>噪声环境损害</w:t>
            </w:r>
            <w:r w:rsidRPr="00FA1A5A">
              <w:rPr>
                <w:rFonts w:ascii="方正仿宋_GBK" w:eastAsia="方正仿宋_GBK" w:hAnsi="宋体" w:hint="eastAsia"/>
                <w:color w:val="000000"/>
                <w:sz w:val="28"/>
                <w:szCs w:val="32"/>
              </w:rPr>
              <w:t>现状，从重点研究方向、科学技术要点等方面研究</w:t>
            </w:r>
            <w:r>
              <w:rPr>
                <w:rFonts w:ascii="方正仿宋_GBK" w:eastAsia="方正仿宋_GBK" w:hAnsi="宋体" w:hint="eastAsia"/>
                <w:color w:val="000000"/>
                <w:sz w:val="28"/>
                <w:szCs w:val="32"/>
              </w:rPr>
              <w:t>噪声</w:t>
            </w:r>
            <w:r w:rsidRPr="00FA1A5A">
              <w:rPr>
                <w:rFonts w:ascii="方正仿宋_GBK" w:eastAsia="方正仿宋_GBK" w:hAnsi="宋体" w:hint="eastAsia"/>
                <w:color w:val="000000"/>
                <w:sz w:val="28"/>
                <w:szCs w:val="32"/>
              </w:rPr>
              <w:t>损害鉴定评估的方法。</w:t>
            </w:r>
          </w:p>
          <w:p w:rsidR="00BC2AEF" w:rsidRPr="00FA1A5A" w:rsidRDefault="00BC2AEF" w:rsidP="00BC2AEF">
            <w:pPr>
              <w:spacing w:line="360" w:lineRule="exact"/>
              <w:ind w:firstLineChars="200" w:firstLine="560"/>
              <w:rPr>
                <w:rFonts w:ascii="方正仿宋_GBK" w:eastAsia="方正仿宋_GBK" w:hAnsi="宋体"/>
                <w:color w:val="000000"/>
                <w:sz w:val="28"/>
                <w:szCs w:val="32"/>
              </w:rPr>
            </w:pPr>
            <w:r w:rsidRPr="00FA1A5A">
              <w:rPr>
                <w:rFonts w:ascii="方正仿宋_GBK" w:eastAsia="方正仿宋_GBK" w:hAnsi="宋体" w:hint="eastAsia"/>
                <w:color w:val="000000"/>
                <w:sz w:val="28"/>
                <w:szCs w:val="32"/>
              </w:rPr>
              <w:t>（2）研究</w:t>
            </w:r>
            <w:r>
              <w:rPr>
                <w:rFonts w:ascii="方正仿宋_GBK" w:eastAsia="方正仿宋_GBK" w:hAnsi="宋体" w:hint="eastAsia"/>
                <w:color w:val="000000"/>
                <w:sz w:val="28"/>
                <w:szCs w:val="32"/>
              </w:rPr>
              <w:t>噪声</w:t>
            </w:r>
            <w:r w:rsidRPr="00FA1A5A">
              <w:rPr>
                <w:rFonts w:ascii="方正仿宋_GBK" w:eastAsia="方正仿宋_GBK" w:hAnsi="宋体" w:hint="eastAsia"/>
                <w:color w:val="000000"/>
                <w:sz w:val="28"/>
                <w:szCs w:val="32"/>
              </w:rPr>
              <w:t>损害鉴定的框架体系和鉴定内容，确定</w:t>
            </w:r>
            <w:r>
              <w:rPr>
                <w:rFonts w:ascii="方正仿宋_GBK" w:eastAsia="方正仿宋_GBK" w:hAnsi="宋体" w:hint="eastAsia"/>
                <w:color w:val="000000"/>
                <w:sz w:val="28"/>
                <w:szCs w:val="32"/>
              </w:rPr>
              <w:t>噪声</w:t>
            </w:r>
            <w:r w:rsidRPr="00FA1A5A">
              <w:rPr>
                <w:rFonts w:ascii="方正仿宋_GBK" w:eastAsia="方正仿宋_GBK" w:hAnsi="宋体" w:hint="eastAsia"/>
                <w:color w:val="000000"/>
                <w:sz w:val="28"/>
                <w:szCs w:val="32"/>
              </w:rPr>
              <w:t>损害鉴定的主要内容有损害调查确认、因果关系分析、损害实物量化、损害价值量化、恢复效果评估等鉴定工作重点，明确各鉴定要点的指标体系和操作要点。</w:t>
            </w:r>
          </w:p>
          <w:p w:rsidR="00BC2AEF" w:rsidRPr="00325CEC" w:rsidRDefault="00BC2AEF" w:rsidP="00BC2AEF">
            <w:pPr>
              <w:spacing w:line="360" w:lineRule="exact"/>
              <w:ind w:firstLineChars="200" w:firstLine="560"/>
              <w:rPr>
                <w:rFonts w:ascii="方正仿宋_GBK" w:eastAsia="方正仿宋_GBK" w:hAnsi="宋体"/>
                <w:color w:val="000000"/>
                <w:sz w:val="28"/>
                <w:szCs w:val="32"/>
              </w:rPr>
            </w:pPr>
            <w:r w:rsidRPr="00FA1A5A">
              <w:rPr>
                <w:rFonts w:ascii="方正仿宋_GBK" w:eastAsia="方正仿宋_GBK" w:hAnsi="宋体" w:hint="eastAsia"/>
                <w:color w:val="000000"/>
                <w:sz w:val="28"/>
                <w:szCs w:val="32"/>
              </w:rPr>
              <w:t>（3）基于上述研究内容，综合考虑程序内容和技术方法，按照《标准化工作导则 第1部分：标准化文件的结构和起草规则》（GB/T 1.1-2020）要求统筹编制《生态环境损害鉴定技术指南 第</w:t>
            </w:r>
            <w:r>
              <w:rPr>
                <w:rFonts w:ascii="方正仿宋_GBK" w:eastAsia="方正仿宋_GBK" w:hAnsi="宋体" w:hint="eastAsia"/>
                <w:color w:val="000000"/>
                <w:sz w:val="28"/>
                <w:szCs w:val="32"/>
              </w:rPr>
              <w:t>8</w:t>
            </w:r>
            <w:r w:rsidRPr="00FA1A5A">
              <w:rPr>
                <w:rFonts w:ascii="方正仿宋_GBK" w:eastAsia="方正仿宋_GBK" w:hAnsi="宋体" w:hint="eastAsia"/>
                <w:color w:val="000000"/>
                <w:sz w:val="28"/>
                <w:szCs w:val="32"/>
              </w:rPr>
              <w:t>部分：</w:t>
            </w:r>
            <w:r>
              <w:rPr>
                <w:rFonts w:ascii="方正仿宋_GBK" w:eastAsia="方正仿宋_GBK" w:hAnsi="宋体" w:hint="eastAsia"/>
                <w:color w:val="000000"/>
                <w:sz w:val="28"/>
                <w:szCs w:val="32"/>
              </w:rPr>
              <w:t>噪声环境</w:t>
            </w:r>
            <w:r w:rsidRPr="00FA1A5A">
              <w:rPr>
                <w:rFonts w:ascii="方正仿宋_GBK" w:eastAsia="方正仿宋_GBK" w:hAnsi="宋体" w:hint="eastAsia"/>
                <w:color w:val="000000"/>
                <w:sz w:val="28"/>
                <w:szCs w:val="32"/>
              </w:rPr>
              <w:t>》。</w:t>
            </w:r>
          </w:p>
          <w:p w:rsidR="003C210F" w:rsidRPr="00BC2AEF" w:rsidRDefault="003C210F" w:rsidP="00DA1DFC">
            <w:pPr>
              <w:spacing w:line="360" w:lineRule="exact"/>
              <w:ind w:firstLineChars="200" w:firstLine="560"/>
              <w:rPr>
                <w:rFonts w:ascii="方正仿宋_GBK" w:eastAsia="方正仿宋_GBK" w:hAnsi="宋体"/>
                <w:i/>
                <w:iCs/>
                <w:color w:val="000000"/>
                <w:sz w:val="28"/>
                <w:szCs w:val="32"/>
              </w:rPr>
            </w:pPr>
          </w:p>
          <w:p w:rsidR="003C210F" w:rsidRDefault="003C210F" w:rsidP="00DA1DFC">
            <w:pPr>
              <w:spacing w:line="360" w:lineRule="exact"/>
              <w:ind w:firstLineChars="200" w:firstLine="560"/>
              <w:rPr>
                <w:rFonts w:ascii="方正仿宋_GBK" w:eastAsia="方正仿宋_GBK" w:hAnsi="仿宋_GB2312" w:cs="仿宋_GB2312"/>
                <w:sz w:val="28"/>
                <w:szCs w:val="32"/>
              </w:rPr>
            </w:pPr>
          </w:p>
          <w:p w:rsidR="003C210F" w:rsidRDefault="003C210F" w:rsidP="00DA1DFC">
            <w:pPr>
              <w:spacing w:line="360" w:lineRule="exact"/>
              <w:ind w:firstLineChars="200" w:firstLine="560"/>
              <w:rPr>
                <w:rFonts w:ascii="方正仿宋_GBK" w:eastAsia="方正仿宋_GBK" w:hAnsi="仿宋_GB2312" w:cs="仿宋_GB2312"/>
                <w:sz w:val="28"/>
                <w:szCs w:val="32"/>
              </w:rPr>
            </w:pPr>
          </w:p>
          <w:p w:rsidR="003C210F" w:rsidRDefault="003C210F" w:rsidP="00DA1DFC">
            <w:pPr>
              <w:spacing w:line="360" w:lineRule="exact"/>
              <w:ind w:firstLineChars="200" w:firstLine="420"/>
              <w:rPr>
                <w:rFonts w:ascii="方正仿宋_GBK" w:eastAsia="方正仿宋_GBK" w:hAnsi="仿宋_GB2312" w:cs="仿宋_GB2312"/>
                <w:szCs w:val="32"/>
              </w:rPr>
            </w:pPr>
          </w:p>
        </w:tc>
      </w:tr>
      <w:tr w:rsidR="003C210F" w:rsidTr="00DA1DFC">
        <w:trPr>
          <w:trHeight w:val="20"/>
          <w:jc w:val="center"/>
        </w:trPr>
        <w:tc>
          <w:tcPr>
            <w:tcW w:w="5000" w:type="pct"/>
            <w:gridSpan w:val="4"/>
          </w:tcPr>
          <w:p w:rsidR="003C210F" w:rsidRPr="00BF31E2" w:rsidRDefault="003C210F" w:rsidP="00DA1DFC">
            <w:pPr>
              <w:numPr>
                <w:ilvl w:val="0"/>
                <w:numId w:val="1"/>
              </w:numPr>
              <w:tabs>
                <w:tab w:val="left" w:pos="312"/>
              </w:tabs>
              <w:adjustRightInd w:val="0"/>
              <w:snapToGrid w:val="0"/>
              <w:spacing w:line="360" w:lineRule="exact"/>
              <w:rPr>
                <w:rFonts w:ascii="方正仿宋_GBK" w:eastAsia="方正仿宋_GBK"/>
                <w:color w:val="000000"/>
                <w:sz w:val="28"/>
                <w:szCs w:val="28"/>
              </w:rPr>
            </w:pPr>
            <w:r>
              <w:rPr>
                <w:rFonts w:ascii="方正仿宋_GBK" w:eastAsia="方正仿宋_GBK" w:hint="eastAsia"/>
                <w:color w:val="000000"/>
                <w:sz w:val="28"/>
                <w:szCs w:val="28"/>
              </w:rPr>
              <w:t>标准比对：</w:t>
            </w:r>
          </w:p>
          <w:p w:rsidR="00D543B9" w:rsidRPr="00D543B9" w:rsidRDefault="00D543B9" w:rsidP="00D543B9">
            <w:pPr>
              <w:spacing w:line="360" w:lineRule="exact"/>
              <w:ind w:firstLine="646"/>
              <w:rPr>
                <w:rFonts w:ascii="方正仿宋_GBK" w:eastAsia="方正仿宋_GBK" w:hAnsi="仿宋_GB2312" w:cs="仿宋_GB2312"/>
                <w:sz w:val="28"/>
                <w:szCs w:val="32"/>
              </w:rPr>
            </w:pPr>
            <w:r w:rsidRPr="00D543B9">
              <w:rPr>
                <w:rFonts w:ascii="方正仿宋_GBK" w:eastAsia="方正仿宋_GBK" w:hAnsi="仿宋_GB2312" w:cs="仿宋_GB2312" w:hint="eastAsia"/>
                <w:sz w:val="28"/>
                <w:szCs w:val="32"/>
              </w:rPr>
              <w:t>2020 年以来针对生态环境损害鉴定评估领域，生态环境部和国家市场监督管理总局制订并发布了针对关键环节、环境要素、基础方法等9项标准。其中，关键环节主要针对损害调查、土壤生态环境基线调查与确定、恢复效果评估进行了规定；环境要素主要针对土壤和地下水、地表水和沉积物的生态环境损害鉴定评估的内容、工作程序、方法和技术要求进行了规范；基础方法主要针对水污染虚拟治理成本法、大气污染虚拟治理成本法的适应情形、工作程序和评估方法进行规定，但其中并未针对噪声的特异性制订专门的鉴定评估技术方法。</w:t>
            </w:r>
          </w:p>
          <w:p w:rsidR="003C210F" w:rsidRDefault="00D543B9" w:rsidP="00D543B9">
            <w:pPr>
              <w:adjustRightInd w:val="0"/>
              <w:snapToGrid w:val="0"/>
              <w:spacing w:line="360" w:lineRule="exact"/>
              <w:rPr>
                <w:rFonts w:ascii="方正仿宋_GBK" w:eastAsia="方正仿宋_GBK"/>
                <w:color w:val="000000"/>
                <w:sz w:val="28"/>
                <w:szCs w:val="32"/>
              </w:rPr>
            </w:pPr>
            <w:r w:rsidRPr="00D543B9">
              <w:rPr>
                <w:rFonts w:ascii="方正仿宋_GBK" w:eastAsia="方正仿宋_GBK" w:hAnsi="仿宋_GB2312" w:cs="仿宋_GB2312" w:hint="eastAsia"/>
                <w:sz w:val="28"/>
                <w:szCs w:val="32"/>
              </w:rPr>
              <w:lastRenderedPageBreak/>
              <w:t>目前，针对环境噪声的质量和排放标准，我国已发布《声环境质量标准》、《工业企业厂界环境噪声排放标准》、《建筑施工场界环境噪声排放标准》、《社会生活环境噪声排放标准》等国家标准，本标准在国家现有的《生态环境损害鉴定评估技术指南总纲和关键环节第 1 部分：总纲》（GB/T 39791.1-2020）为统领下的生态环境鉴定技术标准框架的基础上，以国家发布的环境噪声标准为技术手段</w:t>
            </w:r>
          </w:p>
        </w:tc>
      </w:tr>
      <w:tr w:rsidR="003C210F" w:rsidTr="00DA1DFC">
        <w:trPr>
          <w:trHeight w:val="5028"/>
          <w:jc w:val="center"/>
        </w:trPr>
        <w:tc>
          <w:tcPr>
            <w:tcW w:w="5000" w:type="pct"/>
            <w:gridSpan w:val="4"/>
          </w:tcPr>
          <w:p w:rsidR="003C210F" w:rsidRDefault="003C210F" w:rsidP="00DA1DFC">
            <w:pPr>
              <w:numPr>
                <w:ilvl w:val="0"/>
                <w:numId w:val="1"/>
              </w:numPr>
              <w:tabs>
                <w:tab w:val="left" w:pos="312"/>
              </w:tabs>
              <w:adjustRightInd w:val="0"/>
              <w:snapToGrid w:val="0"/>
              <w:spacing w:line="360" w:lineRule="exact"/>
              <w:rPr>
                <w:rFonts w:ascii="方正仿宋_GBK" w:eastAsia="方正仿宋_GBK"/>
                <w:color w:val="000000"/>
                <w:sz w:val="28"/>
                <w:szCs w:val="28"/>
              </w:rPr>
            </w:pPr>
            <w:r>
              <w:rPr>
                <w:rFonts w:ascii="方正仿宋_GBK" w:eastAsia="方正仿宋_GBK" w:hint="eastAsia"/>
                <w:color w:val="000000"/>
                <w:sz w:val="28"/>
                <w:szCs w:val="28"/>
              </w:rPr>
              <w:lastRenderedPageBreak/>
              <w:t>风险分析：</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本标准的制订，是基于我国现有法律规定，主要服务于鉴定机构、司法机关、行政机关等，若法条有所更新，遵循国家的最新要求。</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若标准与其他标准规定内容有出入，根据《司法鉴定程序通则》中第二十二条，应当依下列顺序遵守和采用该专业领域的技术标准和技术规范：</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（1）国家标准和技术规范；</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（2）司法鉴定主管部门、司法鉴定行业组织或者相关行业主管部门制定的行业标准和技术规范；</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（3）该专业领域多数专家认可的技术标准和技术规范。</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不具备前款规定的技术标准和技术规范的，可以采用所属司法鉴定机构自行制定的有关技术规范。</w:t>
            </w:r>
          </w:p>
          <w:p w:rsidR="00BC2AEF"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标准实施后，出现的重大意见分歧时，按照司法部司法鉴定程序，存在异议的课题可通过研讨会讨论或其它方式解决，并载明异议。</w:t>
            </w:r>
          </w:p>
          <w:p w:rsidR="003C210F" w:rsidRPr="00BC2AEF" w:rsidRDefault="003C210F" w:rsidP="00DA1DFC">
            <w:pPr>
              <w:spacing w:line="360" w:lineRule="exact"/>
              <w:ind w:firstLine="646"/>
              <w:rPr>
                <w:rFonts w:ascii="方正仿宋_GBK" w:eastAsia="方正仿宋_GBK" w:hAnsi="仿宋_GB2312" w:cs="仿宋_GB2312"/>
                <w:sz w:val="28"/>
                <w:szCs w:val="32"/>
              </w:rPr>
            </w:pPr>
          </w:p>
          <w:p w:rsidR="003C210F" w:rsidRDefault="003C210F" w:rsidP="00DA1DFC">
            <w:pPr>
              <w:spacing w:line="360" w:lineRule="exact"/>
              <w:rPr>
                <w:rFonts w:ascii="方正仿宋_GBK" w:eastAsia="方正仿宋_GBK" w:hAnsi="仿宋_GB2312" w:cs="仿宋_GB2312"/>
                <w:sz w:val="28"/>
                <w:szCs w:val="32"/>
              </w:rPr>
            </w:pPr>
          </w:p>
        </w:tc>
      </w:tr>
      <w:tr w:rsidR="003C210F" w:rsidTr="00BC2AEF">
        <w:trPr>
          <w:trHeight w:val="2117"/>
          <w:jc w:val="center"/>
        </w:trPr>
        <w:tc>
          <w:tcPr>
            <w:tcW w:w="5000" w:type="pct"/>
            <w:gridSpan w:val="4"/>
          </w:tcPr>
          <w:p w:rsidR="003C210F" w:rsidRDefault="003C210F" w:rsidP="00DA1DFC">
            <w:pPr>
              <w:adjustRightInd w:val="0"/>
              <w:snapToGrid w:val="0"/>
              <w:spacing w:line="360" w:lineRule="exact"/>
              <w:rPr>
                <w:rFonts w:ascii="方正仿宋_GBK" w:eastAsia="方正仿宋_GBK"/>
                <w:color w:val="000000"/>
                <w:sz w:val="28"/>
                <w:szCs w:val="28"/>
              </w:rPr>
            </w:pPr>
            <w:r>
              <w:rPr>
                <w:rFonts w:ascii="方正仿宋_GBK" w:eastAsia="方正仿宋_GBK" w:hint="eastAsia"/>
                <w:color w:val="000000"/>
                <w:sz w:val="28"/>
                <w:szCs w:val="28"/>
              </w:rPr>
              <w:t>5.宣贯实施计划：</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 xml:space="preserve">第一阶段 </w:t>
            </w:r>
            <w:r w:rsidRPr="00FA1A5A">
              <w:rPr>
                <w:rFonts w:ascii="方正仿宋_GBK" w:eastAsia="方正仿宋_GBK"/>
                <w:color w:val="000000"/>
                <w:sz w:val="28"/>
                <w:szCs w:val="28"/>
              </w:rPr>
              <w:t>2024.4</w:t>
            </w:r>
            <w:r w:rsidRPr="00FA1A5A">
              <w:rPr>
                <w:rFonts w:ascii="方正仿宋_GBK" w:eastAsia="方正仿宋_GBK" w:hint="eastAsia"/>
                <w:color w:val="000000"/>
                <w:sz w:val="28"/>
                <w:szCs w:val="28"/>
              </w:rPr>
              <w:t>—2</w:t>
            </w:r>
            <w:r w:rsidRPr="00FA1A5A">
              <w:rPr>
                <w:rFonts w:ascii="方正仿宋_GBK" w:eastAsia="方正仿宋_GBK"/>
                <w:color w:val="000000"/>
                <w:sz w:val="28"/>
                <w:szCs w:val="28"/>
              </w:rPr>
              <w:t>024.</w:t>
            </w:r>
            <w:r w:rsidR="00B02C7D">
              <w:rPr>
                <w:rFonts w:ascii="方正仿宋_GBK" w:eastAsia="方正仿宋_GBK"/>
                <w:color w:val="000000"/>
                <w:sz w:val="28"/>
                <w:szCs w:val="28"/>
              </w:rPr>
              <w:t>11</w:t>
            </w:r>
            <w:r w:rsidRPr="00FA1A5A">
              <w:rPr>
                <w:rFonts w:ascii="方正仿宋_GBK" w:eastAsia="方正仿宋_GBK"/>
                <w:color w:val="000000"/>
                <w:sz w:val="28"/>
                <w:szCs w:val="28"/>
              </w:rPr>
              <w:t xml:space="preserve"> </w:t>
            </w:r>
            <w:r w:rsidRPr="00FA1A5A">
              <w:rPr>
                <w:rFonts w:ascii="方正仿宋_GBK" w:eastAsia="方正仿宋_GBK" w:hint="eastAsia"/>
                <w:color w:val="000000"/>
                <w:sz w:val="28"/>
                <w:szCs w:val="28"/>
              </w:rPr>
              <w:t>项目起草</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在标准编制过程中，起草工作收集相关国家、行业、地方技术体系及标准。学习现有相关技术体系与标准，组织人员起草目录大纲及部分技术内容，达到立项标准。</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 xml:space="preserve">第二阶段 </w:t>
            </w:r>
            <w:r w:rsidRPr="00FA1A5A">
              <w:rPr>
                <w:rFonts w:ascii="方正仿宋_GBK" w:eastAsia="方正仿宋_GBK"/>
                <w:color w:val="000000"/>
                <w:sz w:val="28"/>
                <w:szCs w:val="28"/>
              </w:rPr>
              <w:t>2024.</w:t>
            </w:r>
            <w:r>
              <w:rPr>
                <w:rFonts w:ascii="方正仿宋_GBK" w:eastAsia="方正仿宋_GBK"/>
                <w:color w:val="000000"/>
                <w:sz w:val="28"/>
                <w:szCs w:val="28"/>
              </w:rPr>
              <w:t>12</w:t>
            </w:r>
            <w:r w:rsidRPr="00FA1A5A">
              <w:rPr>
                <w:rFonts w:ascii="方正仿宋_GBK" w:eastAsia="方正仿宋_GBK"/>
                <w:color w:val="000000"/>
                <w:sz w:val="28"/>
                <w:szCs w:val="28"/>
              </w:rPr>
              <w:t>-202</w:t>
            </w:r>
            <w:r>
              <w:rPr>
                <w:rFonts w:ascii="方正仿宋_GBK" w:eastAsia="方正仿宋_GBK"/>
                <w:color w:val="000000"/>
                <w:sz w:val="28"/>
                <w:szCs w:val="28"/>
              </w:rPr>
              <w:t>5</w:t>
            </w:r>
            <w:r w:rsidRPr="00FA1A5A">
              <w:rPr>
                <w:rFonts w:ascii="方正仿宋_GBK" w:eastAsia="方正仿宋_GBK"/>
                <w:color w:val="000000"/>
                <w:sz w:val="28"/>
                <w:szCs w:val="28"/>
              </w:rPr>
              <w:t xml:space="preserve">.1 </w:t>
            </w:r>
            <w:r w:rsidRPr="00FA1A5A">
              <w:rPr>
                <w:rFonts w:ascii="方正仿宋_GBK" w:eastAsia="方正仿宋_GBK" w:hint="eastAsia"/>
                <w:color w:val="000000"/>
                <w:sz w:val="28"/>
                <w:szCs w:val="28"/>
              </w:rPr>
              <w:t>征求意见</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标准起草工作完成后，将规范征求意见稿、编制说明送到分标委秘书处经审查同意后再寄给部分委员与相关单位专家征求意见。收到专家反馈意见后，标准起草小组进行汇总、分析和处理，并根据意见对标准征求意见稿进行修订，完成标准送审稿和意见汇总处理表。</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 xml:space="preserve">第三阶段 </w:t>
            </w:r>
            <w:r w:rsidRPr="00FA1A5A">
              <w:rPr>
                <w:rFonts w:ascii="方正仿宋_GBK" w:eastAsia="方正仿宋_GBK"/>
                <w:color w:val="000000"/>
                <w:sz w:val="28"/>
                <w:szCs w:val="28"/>
              </w:rPr>
              <w:t>202</w:t>
            </w:r>
            <w:r>
              <w:rPr>
                <w:rFonts w:ascii="方正仿宋_GBK" w:eastAsia="方正仿宋_GBK"/>
                <w:color w:val="000000"/>
                <w:sz w:val="28"/>
                <w:szCs w:val="28"/>
              </w:rPr>
              <w:t>5</w:t>
            </w:r>
            <w:r w:rsidRPr="00FA1A5A">
              <w:rPr>
                <w:rFonts w:ascii="方正仿宋_GBK" w:eastAsia="方正仿宋_GBK"/>
                <w:color w:val="000000"/>
                <w:sz w:val="28"/>
                <w:szCs w:val="28"/>
              </w:rPr>
              <w:t>.</w:t>
            </w:r>
            <w:r>
              <w:rPr>
                <w:rFonts w:ascii="方正仿宋_GBK" w:eastAsia="方正仿宋_GBK"/>
                <w:color w:val="000000"/>
                <w:sz w:val="28"/>
                <w:szCs w:val="28"/>
              </w:rPr>
              <w:t>4</w:t>
            </w:r>
            <w:r w:rsidRPr="00FA1A5A">
              <w:rPr>
                <w:rFonts w:ascii="方正仿宋_GBK" w:eastAsia="方正仿宋_GBK"/>
                <w:color w:val="000000"/>
                <w:sz w:val="28"/>
                <w:szCs w:val="28"/>
              </w:rPr>
              <w:t>-2025.</w:t>
            </w:r>
            <w:r>
              <w:rPr>
                <w:rFonts w:ascii="方正仿宋_GBK" w:eastAsia="方正仿宋_GBK"/>
                <w:color w:val="000000"/>
                <w:sz w:val="28"/>
                <w:szCs w:val="28"/>
              </w:rPr>
              <w:t>5</w:t>
            </w:r>
            <w:r w:rsidRPr="00FA1A5A">
              <w:rPr>
                <w:rFonts w:ascii="方正仿宋_GBK" w:eastAsia="方正仿宋_GBK"/>
                <w:color w:val="000000"/>
                <w:sz w:val="28"/>
                <w:szCs w:val="28"/>
              </w:rPr>
              <w:t xml:space="preserve"> </w:t>
            </w:r>
            <w:r w:rsidRPr="00FA1A5A">
              <w:rPr>
                <w:rFonts w:ascii="方正仿宋_GBK" w:eastAsia="方正仿宋_GBK" w:hint="eastAsia"/>
                <w:color w:val="000000"/>
                <w:sz w:val="28"/>
                <w:szCs w:val="28"/>
              </w:rPr>
              <w:t>技术评审</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将完善后的标准送审稿、规范编制说明、意见汇总表及其他相关附件送分标委秘书处，采用会议或函审方式审查。通过审查后，</w:t>
            </w:r>
            <w:r w:rsidRPr="00FA1A5A">
              <w:rPr>
                <w:rFonts w:ascii="方正仿宋_GBK" w:eastAsia="方正仿宋_GBK" w:hint="eastAsia"/>
                <w:color w:val="000000"/>
                <w:sz w:val="28"/>
                <w:szCs w:val="28"/>
              </w:rPr>
              <w:lastRenderedPageBreak/>
              <w:t>根据评审意见进行修改并形成标准报批稿。</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第四阶段（202</w:t>
            </w:r>
            <w:r w:rsidRPr="00FA1A5A">
              <w:rPr>
                <w:rFonts w:ascii="方正仿宋_GBK" w:eastAsia="方正仿宋_GBK"/>
                <w:color w:val="000000"/>
                <w:sz w:val="28"/>
                <w:szCs w:val="28"/>
              </w:rPr>
              <w:t>5</w:t>
            </w:r>
            <w:r w:rsidRPr="00FA1A5A">
              <w:rPr>
                <w:rFonts w:ascii="方正仿宋_GBK" w:eastAsia="方正仿宋_GBK" w:hint="eastAsia"/>
                <w:color w:val="000000"/>
                <w:sz w:val="28"/>
                <w:szCs w:val="28"/>
              </w:rPr>
              <w:t>.</w:t>
            </w:r>
            <w:r>
              <w:rPr>
                <w:rFonts w:ascii="方正仿宋_GBK" w:eastAsia="方正仿宋_GBK"/>
                <w:color w:val="000000"/>
                <w:sz w:val="28"/>
                <w:szCs w:val="28"/>
              </w:rPr>
              <w:t>7</w:t>
            </w:r>
            <w:r w:rsidRPr="00FA1A5A">
              <w:rPr>
                <w:rFonts w:ascii="方正仿宋_GBK" w:eastAsia="方正仿宋_GBK" w:hint="eastAsia"/>
                <w:color w:val="000000"/>
                <w:sz w:val="28"/>
                <w:szCs w:val="28"/>
              </w:rPr>
              <w:t>~202</w:t>
            </w:r>
            <w:r w:rsidRPr="00FA1A5A">
              <w:rPr>
                <w:rFonts w:ascii="方正仿宋_GBK" w:eastAsia="方正仿宋_GBK"/>
                <w:color w:val="000000"/>
                <w:sz w:val="28"/>
                <w:szCs w:val="28"/>
              </w:rPr>
              <w:t>5</w:t>
            </w:r>
            <w:r w:rsidRPr="00FA1A5A">
              <w:rPr>
                <w:rFonts w:ascii="方正仿宋_GBK" w:eastAsia="方正仿宋_GBK" w:hint="eastAsia"/>
                <w:color w:val="000000"/>
                <w:sz w:val="28"/>
                <w:szCs w:val="28"/>
              </w:rPr>
              <w:t>.</w:t>
            </w:r>
            <w:r>
              <w:rPr>
                <w:rFonts w:ascii="方正仿宋_GBK" w:eastAsia="方正仿宋_GBK"/>
                <w:color w:val="000000"/>
                <w:sz w:val="28"/>
                <w:szCs w:val="28"/>
              </w:rPr>
              <w:t>8</w:t>
            </w:r>
            <w:r w:rsidRPr="00FA1A5A">
              <w:rPr>
                <w:rFonts w:ascii="方正仿宋_GBK" w:eastAsia="方正仿宋_GBK" w:hint="eastAsia"/>
                <w:color w:val="000000"/>
                <w:sz w:val="28"/>
                <w:szCs w:val="28"/>
              </w:rPr>
              <w:t>）宣贯实施</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本标准报批稿通过后，由湖北省标准化主管机构或专业主管部门编号、发布。</w:t>
            </w:r>
          </w:p>
          <w:p w:rsidR="003C210F" w:rsidRPr="00BC2AEF" w:rsidRDefault="003C210F" w:rsidP="00BC2AEF">
            <w:pPr>
              <w:pStyle w:val="a7"/>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p>
        </w:tc>
      </w:tr>
      <w:tr w:rsidR="003C210F" w:rsidTr="00BC2AEF">
        <w:trPr>
          <w:trHeight w:val="4102"/>
          <w:jc w:val="center"/>
        </w:trPr>
        <w:tc>
          <w:tcPr>
            <w:tcW w:w="5000" w:type="pct"/>
            <w:gridSpan w:val="4"/>
          </w:tcPr>
          <w:p w:rsidR="003C210F" w:rsidRDefault="003C210F" w:rsidP="00DA1DFC">
            <w:pPr>
              <w:pStyle w:val="a7"/>
              <w:widowControl w:val="0"/>
              <w:spacing w:before="0" w:beforeAutospacing="0" w:after="0" w:afterAutospacing="0" w:line="360" w:lineRule="exact"/>
              <w:jc w:val="both"/>
              <w:rPr>
                <w:rFonts w:ascii="方正仿宋_GBK" w:eastAsia="方正仿宋_GBK" w:hAnsi="仿宋_GB2312" w:cs="仿宋_GB2312"/>
                <w:kern w:val="2"/>
                <w:sz w:val="28"/>
                <w:szCs w:val="32"/>
              </w:rPr>
            </w:pPr>
            <w:r>
              <w:rPr>
                <w:rFonts w:ascii="方正仿宋_GBK" w:eastAsia="方正仿宋_GBK" w:hAnsi="仿宋_GB2312" w:cs="仿宋_GB2312" w:hint="eastAsia"/>
                <w:kern w:val="2"/>
                <w:sz w:val="28"/>
                <w:szCs w:val="32"/>
              </w:rPr>
              <w:lastRenderedPageBreak/>
              <w:t>6.专家组：</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张强，项目负责人/编制组组长，统筹负责标准起草工作，湖北省生态环境科学研究院，高级工程师/所长，环境科学，027-87863566；</w:t>
            </w:r>
          </w:p>
          <w:p w:rsidR="00BC2AEF" w:rsidRPr="00325CEC"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陈岷轩</w:t>
            </w:r>
            <w:r w:rsidRPr="00325CEC">
              <w:rPr>
                <w:rFonts w:ascii="方正仿宋_GBK" w:eastAsia="方正仿宋_GBK" w:hint="eastAsia"/>
                <w:color w:val="000000"/>
                <w:sz w:val="28"/>
                <w:szCs w:val="28"/>
              </w:rPr>
              <w:t>，编制组副组长，协调推进标准编制工作，湖北省生态环境科学研究院，</w:t>
            </w:r>
            <w:r w:rsidRPr="00FA1A5A">
              <w:rPr>
                <w:rFonts w:ascii="方正仿宋_GBK" w:eastAsia="方正仿宋_GBK" w:hint="eastAsia"/>
                <w:color w:val="000000"/>
                <w:sz w:val="28"/>
                <w:szCs w:val="28"/>
              </w:rPr>
              <w:t>中级</w:t>
            </w:r>
            <w:r w:rsidRPr="00325CEC">
              <w:rPr>
                <w:rFonts w:ascii="方正仿宋_GBK" w:eastAsia="方正仿宋_GBK" w:hint="eastAsia"/>
                <w:color w:val="000000"/>
                <w:sz w:val="28"/>
                <w:szCs w:val="28"/>
              </w:rPr>
              <w:t>工程师，</w:t>
            </w:r>
            <w:r w:rsidRPr="00FA1A5A">
              <w:rPr>
                <w:rFonts w:ascii="方正仿宋_GBK" w:eastAsia="方正仿宋_GBK" w:hint="eastAsia"/>
                <w:color w:val="000000"/>
                <w:sz w:val="28"/>
                <w:szCs w:val="28"/>
              </w:rPr>
              <w:t>环境科学</w:t>
            </w:r>
            <w:r w:rsidRPr="00325CEC">
              <w:rPr>
                <w:rFonts w:ascii="方正仿宋_GBK" w:eastAsia="方正仿宋_GBK" w:hint="eastAsia"/>
                <w:color w:val="000000"/>
                <w:sz w:val="28"/>
                <w:szCs w:val="28"/>
              </w:rPr>
              <w:t>，027-87863566；</w:t>
            </w:r>
          </w:p>
          <w:p w:rsidR="00BC2AEF" w:rsidRPr="00FA1A5A" w:rsidRDefault="00BC2AEF" w:rsidP="00BC2AEF">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由湖北省生态环境科学研究院生态环境损害司法鉴定中心（污染损害评估与环境健康风险防控湖北省重点实验室）和</w:t>
            </w:r>
            <w:r w:rsidR="00CD601B">
              <w:rPr>
                <w:rFonts w:ascii="方正仿宋_GBK" w:eastAsia="方正仿宋_GBK" w:hint="eastAsia"/>
                <w:color w:val="000000"/>
                <w:sz w:val="28"/>
                <w:szCs w:val="28"/>
              </w:rPr>
              <w:t>武汉理工大学</w:t>
            </w:r>
            <w:r w:rsidRPr="00FA1A5A">
              <w:rPr>
                <w:rFonts w:ascii="方正仿宋_GBK" w:eastAsia="方正仿宋_GBK" w:hint="eastAsia"/>
                <w:color w:val="000000"/>
                <w:sz w:val="28"/>
                <w:szCs w:val="28"/>
              </w:rPr>
              <w:t>相关技术人员组成标准编制组。</w:t>
            </w:r>
            <w:bookmarkStart w:id="0" w:name="_GoBack"/>
            <w:bookmarkEnd w:id="0"/>
          </w:p>
          <w:p w:rsidR="003C210F" w:rsidRPr="00BC2AEF" w:rsidRDefault="003C210F" w:rsidP="00DA1DFC">
            <w:pPr>
              <w:pStyle w:val="a7"/>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p>
          <w:p w:rsidR="003C210F" w:rsidRDefault="003C210F" w:rsidP="00BC2AEF">
            <w:pPr>
              <w:pStyle w:val="a7"/>
              <w:widowControl w:val="0"/>
              <w:spacing w:before="0" w:beforeAutospacing="0" w:after="0" w:afterAutospacing="0" w:line="360" w:lineRule="exact"/>
              <w:jc w:val="both"/>
              <w:rPr>
                <w:rFonts w:ascii="方正仿宋_GBK" w:eastAsia="方正仿宋_GBK" w:hAnsi="仿宋_GB2312" w:cs="仿宋_GB2312"/>
                <w:sz w:val="28"/>
                <w:szCs w:val="32"/>
              </w:rPr>
            </w:pPr>
          </w:p>
        </w:tc>
      </w:tr>
    </w:tbl>
    <w:p w:rsidR="003C210F" w:rsidRDefault="003C210F" w:rsidP="003C210F">
      <w:pPr>
        <w:adjustRightInd w:val="0"/>
        <w:snapToGrid w:val="0"/>
        <w:spacing w:line="400" w:lineRule="exact"/>
        <w:rPr>
          <w:rFonts w:ascii="方正仿宋_GBK" w:eastAsia="方正仿宋_GBK"/>
          <w:color w:val="000000"/>
          <w:sz w:val="28"/>
          <w:szCs w:val="28"/>
        </w:rPr>
      </w:pPr>
      <w:r>
        <w:rPr>
          <w:rFonts w:ascii="方正仿宋_GBK" w:eastAsia="方正仿宋_GBK" w:hint="eastAsia"/>
          <w:b/>
          <w:color w:val="000000"/>
          <w:sz w:val="28"/>
          <w:szCs w:val="28"/>
        </w:rPr>
        <w:t>注：</w:t>
      </w:r>
      <w:r>
        <w:rPr>
          <w:rFonts w:ascii="方正仿宋_GBK" w:eastAsia="方正仿宋_GBK" w:hint="eastAsia"/>
          <w:color w:val="000000"/>
          <w:sz w:val="28"/>
          <w:szCs w:val="28"/>
        </w:rPr>
        <w:t>此表可根据内容多少调整格式，填写时删除斜体的填写说明。</w:t>
      </w:r>
    </w:p>
    <w:p w:rsidR="00C41220" w:rsidRPr="003C210F" w:rsidRDefault="00C41220"/>
    <w:sectPr w:rsidR="00C41220" w:rsidRPr="003C21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D99" w:rsidRDefault="006B3D99" w:rsidP="003C210F">
      <w:r>
        <w:separator/>
      </w:r>
    </w:p>
  </w:endnote>
  <w:endnote w:type="continuationSeparator" w:id="0">
    <w:p w:rsidR="006B3D99" w:rsidRDefault="006B3D99" w:rsidP="003C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auto"/>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D99" w:rsidRDefault="006B3D99" w:rsidP="003C210F">
      <w:r>
        <w:separator/>
      </w:r>
    </w:p>
  </w:footnote>
  <w:footnote w:type="continuationSeparator" w:id="0">
    <w:p w:rsidR="006B3D99" w:rsidRDefault="006B3D99" w:rsidP="003C21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B11E3"/>
    <w:multiLevelType w:val="singleLevel"/>
    <w:tmpl w:val="2CAB11E3"/>
    <w:lvl w:ilvl="0">
      <w:start w:val="3"/>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AA"/>
    <w:rsid w:val="00182BF5"/>
    <w:rsid w:val="00193E0E"/>
    <w:rsid w:val="00257173"/>
    <w:rsid w:val="003C210F"/>
    <w:rsid w:val="004F43AA"/>
    <w:rsid w:val="006B3D99"/>
    <w:rsid w:val="007834D1"/>
    <w:rsid w:val="00A2788F"/>
    <w:rsid w:val="00B02C7D"/>
    <w:rsid w:val="00BC2AEF"/>
    <w:rsid w:val="00BF31E2"/>
    <w:rsid w:val="00C41220"/>
    <w:rsid w:val="00CD601B"/>
    <w:rsid w:val="00D543B9"/>
    <w:rsid w:val="00F14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A951DF-2804-459C-B37B-596D5F51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1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1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C210F"/>
    <w:rPr>
      <w:sz w:val="18"/>
      <w:szCs w:val="18"/>
    </w:rPr>
  </w:style>
  <w:style w:type="paragraph" w:styleId="a5">
    <w:name w:val="footer"/>
    <w:basedOn w:val="a"/>
    <w:link w:val="a6"/>
    <w:uiPriority w:val="99"/>
    <w:unhideWhenUsed/>
    <w:rsid w:val="003C210F"/>
    <w:pPr>
      <w:tabs>
        <w:tab w:val="center" w:pos="4153"/>
        <w:tab w:val="right" w:pos="8306"/>
      </w:tabs>
      <w:snapToGrid w:val="0"/>
      <w:jc w:val="left"/>
    </w:pPr>
    <w:rPr>
      <w:sz w:val="18"/>
      <w:szCs w:val="18"/>
    </w:rPr>
  </w:style>
  <w:style w:type="character" w:customStyle="1" w:styleId="a6">
    <w:name w:val="页脚 字符"/>
    <w:basedOn w:val="a0"/>
    <w:link w:val="a5"/>
    <w:uiPriority w:val="99"/>
    <w:rsid w:val="003C210F"/>
    <w:rPr>
      <w:sz w:val="18"/>
      <w:szCs w:val="18"/>
    </w:rPr>
  </w:style>
  <w:style w:type="paragraph" w:styleId="a7">
    <w:name w:val="Normal (Web)"/>
    <w:basedOn w:val="a"/>
    <w:unhideWhenUsed/>
    <w:qFormat/>
    <w:rsid w:val="003C210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cmx</dc:creator>
  <cp:keywords/>
  <dc:description/>
  <cp:lastModifiedBy>cmx</cp:lastModifiedBy>
  <cp:revision>10</cp:revision>
  <dcterms:created xsi:type="dcterms:W3CDTF">2024-12-04T06:22:00Z</dcterms:created>
  <dcterms:modified xsi:type="dcterms:W3CDTF">2024-12-16T06:56:00Z</dcterms:modified>
</cp:coreProperties>
</file>